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134FFD" w14:textId="55ADE50F" w:rsidR="000B5960" w:rsidRDefault="000B5960" w:rsidP="00952335">
      <w:pPr>
        <w:spacing w:after="0"/>
        <w:rPr>
          <w:sz w:val="4"/>
          <w:szCs w:val="4"/>
        </w:rPr>
      </w:pPr>
    </w:p>
    <w:tbl>
      <w:tblPr>
        <w:tblStyle w:val="TableGrid"/>
        <w:tblpPr w:leftFromText="180" w:rightFromText="180" w:vertAnchor="page" w:horzAnchor="margin" w:tblpX="-459" w:tblpY="1441"/>
        <w:tblW w:w="10348" w:type="dxa"/>
        <w:tblLook w:val="04A0" w:firstRow="1" w:lastRow="0" w:firstColumn="1" w:lastColumn="0" w:noHBand="0" w:noVBand="1"/>
      </w:tblPr>
      <w:tblGrid>
        <w:gridCol w:w="1437"/>
        <w:gridCol w:w="2494"/>
        <w:gridCol w:w="6417"/>
      </w:tblGrid>
      <w:tr w:rsidR="000B5960" w:rsidRPr="002E2899" w14:paraId="58B71CB7" w14:textId="77777777" w:rsidTr="000B5960">
        <w:trPr>
          <w:trHeight w:val="144"/>
        </w:trPr>
        <w:tc>
          <w:tcPr>
            <w:tcW w:w="10348" w:type="dxa"/>
            <w:gridSpan w:val="3"/>
            <w:tcBorders>
              <w:top w:val="nil"/>
              <w:left w:val="nil"/>
              <w:right w:val="nil"/>
            </w:tcBorders>
          </w:tcPr>
          <w:p w14:paraId="286E4FC2" w14:textId="77777777" w:rsidR="000B5960" w:rsidRDefault="000B5960" w:rsidP="000B5960">
            <w:pPr>
              <w:rPr>
                <w:rFonts w:ascii="Arial" w:hAnsi="Arial" w:cs="Arial"/>
                <w:i/>
                <w:iCs/>
                <w:sz w:val="20"/>
                <w:szCs w:val="20"/>
              </w:rPr>
            </w:pPr>
            <w:r w:rsidRPr="00FE4697">
              <w:rPr>
                <w:rFonts w:ascii="Arial" w:hAnsi="Arial" w:cs="Arial"/>
                <w:b/>
                <w:bCs/>
                <w:i/>
                <w:iCs/>
                <w:sz w:val="20"/>
                <w:szCs w:val="20"/>
              </w:rPr>
              <w:t>Disclaimer</w:t>
            </w:r>
            <w:r>
              <w:rPr>
                <w:rFonts w:ascii="Arial" w:hAnsi="Arial"/>
                <w:b/>
                <w:i/>
                <w:sz w:val="20"/>
                <w:szCs w:val="20"/>
              </w:rPr>
              <w:t>:</w:t>
            </w:r>
            <w:r>
              <w:rPr>
                <w:rFonts w:ascii="Arial" w:hAnsi="Arial"/>
                <w:i/>
                <w:sz w:val="20"/>
                <w:szCs w:val="20"/>
              </w:rPr>
              <w:t xml:space="preserve"> </w:t>
            </w:r>
            <w:r w:rsidRPr="00360490">
              <w:rPr>
                <w:rFonts w:ascii="Arial" w:hAnsi="Arial"/>
                <w:b/>
                <w:i/>
                <w:sz w:val="20"/>
                <w:szCs w:val="20"/>
              </w:rPr>
              <w:t xml:space="preserve"> </w:t>
            </w:r>
            <w:r>
              <w:rPr>
                <w:rFonts w:ascii="Arial" w:hAnsi="Arial" w:cs="Arial"/>
                <w:i/>
                <w:iCs/>
                <w:sz w:val="20"/>
                <w:szCs w:val="20"/>
              </w:rPr>
              <w:t>This is a draft fiche for a financial product under the EU compartment of the InvestEU Fund based on features included in the draft investment guidelines. The financial product fiche is intended to facilitate discussion with potential Implementing Partners. It has not been adopted or endorsed by the European Commission. Any views expressed are the preliminary views of the Commission services and may not in any circumstances be regarded as stating an official position of the Commission. The information transmitted is intended only for the entity to which it is addressed for discussions and may contain confidential and/or privileged material. This financial product fiche is meant to serve as an example for the financial product herein described. It shall not pre-empt</w:t>
            </w:r>
            <w:r>
              <w:rPr>
                <w:rFonts w:ascii="Arial" w:hAnsi="Arial" w:cs="Arial"/>
                <w:i/>
                <w:iCs/>
                <w:color w:val="1F497D"/>
                <w:sz w:val="20"/>
                <w:szCs w:val="20"/>
              </w:rPr>
              <w:t xml:space="preserve"> </w:t>
            </w:r>
            <w:r>
              <w:rPr>
                <w:rFonts w:ascii="Arial" w:hAnsi="Arial" w:cs="Arial"/>
                <w:i/>
                <w:iCs/>
                <w:sz w:val="20"/>
                <w:szCs w:val="20"/>
              </w:rPr>
              <w:t>policy prioritisation or any other aspects related to InvestEU Financial Products. An implementing partner can focus on one or more policy areas targeted by this financial product</w:t>
            </w:r>
            <w:r w:rsidRPr="00734058">
              <w:rPr>
                <w:rFonts w:ascii="Arial" w:hAnsi="Arial" w:cs="Arial"/>
                <w:i/>
                <w:iCs/>
                <w:sz w:val="20"/>
                <w:szCs w:val="20"/>
              </w:rPr>
              <w:t xml:space="preserve">. </w:t>
            </w:r>
            <w:r w:rsidRPr="00734058">
              <w:rPr>
                <w:i/>
              </w:rPr>
              <w:t>T</w:t>
            </w:r>
            <w:r>
              <w:rPr>
                <w:rFonts w:ascii="Arial" w:hAnsi="Arial" w:cs="Arial"/>
                <w:i/>
                <w:iCs/>
                <w:sz w:val="20"/>
                <w:szCs w:val="20"/>
              </w:rPr>
              <w:t>he financial product fiches should be read in combination with the policy cover notes per policy window.</w:t>
            </w:r>
          </w:p>
          <w:p w14:paraId="2AF696ED" w14:textId="77777777" w:rsidR="000B5960" w:rsidRDefault="000B5960" w:rsidP="000B5960">
            <w:pPr>
              <w:rPr>
                <w:rFonts w:ascii="Arial" w:hAnsi="Arial" w:cs="Arial"/>
                <w:i/>
                <w:iCs/>
                <w:sz w:val="20"/>
                <w:szCs w:val="20"/>
              </w:rPr>
            </w:pPr>
          </w:p>
          <w:p w14:paraId="5108C695" w14:textId="77777777" w:rsidR="000B5960" w:rsidRPr="00C34715" w:rsidRDefault="000B5960" w:rsidP="000B5960">
            <w:pPr>
              <w:rPr>
                <w:rFonts w:ascii="Arial" w:hAnsi="Arial" w:cs="Arial"/>
                <w:i/>
                <w:iCs/>
                <w:sz w:val="20"/>
                <w:szCs w:val="20"/>
              </w:rPr>
            </w:pPr>
          </w:p>
        </w:tc>
      </w:tr>
      <w:tr w:rsidR="000B5960" w:rsidRPr="002E2899" w14:paraId="337A2BDF" w14:textId="77777777" w:rsidTr="000B5960">
        <w:trPr>
          <w:trHeight w:val="144"/>
        </w:trPr>
        <w:tc>
          <w:tcPr>
            <w:tcW w:w="1437" w:type="dxa"/>
          </w:tcPr>
          <w:p w14:paraId="03D5897A" w14:textId="77777777" w:rsidR="000B5960" w:rsidRPr="00C34715" w:rsidRDefault="000B5960" w:rsidP="000B5960">
            <w:pPr>
              <w:rPr>
                <w:rFonts w:ascii="Arial" w:hAnsi="Arial" w:cs="Arial"/>
                <w:b/>
                <w:bCs/>
                <w:sz w:val="20"/>
                <w:szCs w:val="20"/>
              </w:rPr>
            </w:pPr>
            <w:r w:rsidRPr="00FE4697">
              <w:rPr>
                <w:rFonts w:ascii="Arial" w:hAnsi="Arial" w:cs="Arial"/>
                <w:b/>
                <w:bCs/>
                <w:sz w:val="20"/>
                <w:szCs w:val="20"/>
              </w:rPr>
              <w:t>1.</w:t>
            </w:r>
          </w:p>
        </w:tc>
        <w:tc>
          <w:tcPr>
            <w:tcW w:w="2494" w:type="dxa"/>
          </w:tcPr>
          <w:p w14:paraId="3207BD80" w14:textId="77777777" w:rsidR="000B5960" w:rsidRPr="00C34715" w:rsidRDefault="000B5960" w:rsidP="000B5960">
            <w:pPr>
              <w:rPr>
                <w:rFonts w:ascii="Arial" w:hAnsi="Arial" w:cs="Arial"/>
                <w:b/>
                <w:bCs/>
                <w:sz w:val="20"/>
                <w:szCs w:val="20"/>
              </w:rPr>
            </w:pPr>
            <w:r w:rsidRPr="00FE4697">
              <w:rPr>
                <w:rFonts w:ascii="Arial" w:hAnsi="Arial" w:cs="Arial"/>
                <w:b/>
                <w:bCs/>
                <w:sz w:val="20"/>
                <w:szCs w:val="20"/>
              </w:rPr>
              <w:t>Policy Window(s)</w:t>
            </w:r>
          </w:p>
        </w:tc>
        <w:tc>
          <w:tcPr>
            <w:tcW w:w="6417" w:type="dxa"/>
          </w:tcPr>
          <w:p w14:paraId="6DFDA978" w14:textId="77777777" w:rsidR="000B5960" w:rsidRPr="002E2899" w:rsidRDefault="00DA0614" w:rsidP="000B5960">
            <w:pPr>
              <w:autoSpaceDE w:val="0"/>
              <w:autoSpaceDN w:val="0"/>
              <w:adjustRightInd w:val="0"/>
              <w:rPr>
                <w:rFonts w:ascii="Arial" w:hAnsi="Arial" w:cs="Arial"/>
                <w:sz w:val="20"/>
                <w:szCs w:val="20"/>
              </w:rPr>
            </w:pPr>
            <w:sdt>
              <w:sdtPr>
                <w:rPr>
                  <w:rFonts w:ascii="Arial" w:hAnsi="Arial" w:cs="Arial"/>
                  <w:sz w:val="20"/>
                  <w:szCs w:val="20"/>
                </w:rPr>
                <w:id w:val="2026745114"/>
                <w14:checkbox>
                  <w14:checked w14:val="1"/>
                  <w14:checkedState w14:val="2612" w14:font="MS Gothic"/>
                  <w14:uncheckedState w14:val="2610" w14:font="MS Gothic"/>
                </w14:checkbox>
              </w:sdtPr>
              <w:sdtEndPr/>
              <w:sdtContent>
                <w:r w:rsidR="000B5960" w:rsidRPr="002E2899">
                  <w:rPr>
                    <w:rFonts w:ascii="Segoe UI Symbol" w:eastAsia="MS Gothic" w:hAnsi="Segoe UI Symbol" w:cs="Segoe UI Symbol"/>
                    <w:sz w:val="20"/>
                    <w:szCs w:val="20"/>
                  </w:rPr>
                  <w:t>☒</w:t>
                </w:r>
              </w:sdtContent>
            </w:sdt>
            <w:r w:rsidR="000B5960" w:rsidRPr="002E2899">
              <w:rPr>
                <w:rFonts w:ascii="Arial" w:hAnsi="Arial" w:cs="Arial"/>
                <w:sz w:val="20"/>
                <w:szCs w:val="20"/>
              </w:rPr>
              <w:t xml:space="preserve"> Sustainable Infrastructure window </w:t>
            </w:r>
          </w:p>
          <w:p w14:paraId="375B55DB" w14:textId="77777777" w:rsidR="000B5960" w:rsidRPr="002E2899" w:rsidRDefault="00DA0614" w:rsidP="000B5960">
            <w:pPr>
              <w:autoSpaceDE w:val="0"/>
              <w:autoSpaceDN w:val="0"/>
              <w:adjustRightInd w:val="0"/>
              <w:rPr>
                <w:rFonts w:ascii="Arial" w:hAnsi="Arial" w:cs="Arial"/>
                <w:sz w:val="20"/>
                <w:szCs w:val="20"/>
              </w:rPr>
            </w:pPr>
            <w:sdt>
              <w:sdtPr>
                <w:rPr>
                  <w:rFonts w:ascii="Arial" w:hAnsi="Arial" w:cs="Arial"/>
                  <w:sz w:val="20"/>
                  <w:szCs w:val="20"/>
                </w:rPr>
                <w:id w:val="430700354"/>
                <w14:checkbox>
                  <w14:checked w14:val="0"/>
                  <w14:checkedState w14:val="2612" w14:font="MS Gothic"/>
                  <w14:uncheckedState w14:val="2610" w14:font="MS Gothic"/>
                </w14:checkbox>
              </w:sdtPr>
              <w:sdtEndPr/>
              <w:sdtContent>
                <w:r w:rsidR="000B5960" w:rsidRPr="002E2899">
                  <w:rPr>
                    <w:rFonts w:ascii="Segoe UI Symbol" w:eastAsia="MS Gothic" w:hAnsi="Segoe UI Symbol" w:cs="Segoe UI Symbol"/>
                    <w:sz w:val="20"/>
                    <w:szCs w:val="20"/>
                  </w:rPr>
                  <w:t>☐</w:t>
                </w:r>
              </w:sdtContent>
            </w:sdt>
            <w:r w:rsidR="000B5960" w:rsidRPr="002E2899" w:rsidDel="004D136D">
              <w:rPr>
                <w:rFonts w:ascii="Arial" w:hAnsi="Arial" w:cs="Arial"/>
                <w:sz w:val="20"/>
                <w:szCs w:val="20"/>
              </w:rPr>
              <w:t xml:space="preserve"> </w:t>
            </w:r>
            <w:r w:rsidR="000B5960" w:rsidRPr="002E2899">
              <w:rPr>
                <w:rFonts w:ascii="Arial" w:hAnsi="Arial" w:cs="Arial"/>
                <w:sz w:val="20"/>
                <w:szCs w:val="20"/>
              </w:rPr>
              <w:t>Research, Innovation and Digitisation window</w:t>
            </w:r>
          </w:p>
          <w:p w14:paraId="45F996BD" w14:textId="77777777" w:rsidR="000B5960" w:rsidRPr="002E2899" w:rsidRDefault="00DA0614" w:rsidP="000B5960">
            <w:pPr>
              <w:rPr>
                <w:rFonts w:ascii="Arial" w:hAnsi="Arial" w:cs="Arial"/>
                <w:sz w:val="20"/>
                <w:szCs w:val="20"/>
              </w:rPr>
            </w:pPr>
            <w:sdt>
              <w:sdtPr>
                <w:rPr>
                  <w:rFonts w:ascii="Arial" w:hAnsi="Arial" w:cs="Arial"/>
                  <w:sz w:val="20"/>
                  <w:szCs w:val="20"/>
                </w:rPr>
                <w:id w:val="-43918100"/>
                <w14:checkbox>
                  <w14:checked w14:val="0"/>
                  <w14:checkedState w14:val="2612" w14:font="MS Gothic"/>
                  <w14:uncheckedState w14:val="2610" w14:font="MS Gothic"/>
                </w14:checkbox>
              </w:sdtPr>
              <w:sdtEndPr/>
              <w:sdtContent>
                <w:r w:rsidR="000B5960" w:rsidRPr="002E2899">
                  <w:rPr>
                    <w:rFonts w:ascii="Segoe UI Symbol" w:eastAsia="MS Gothic" w:hAnsi="Segoe UI Symbol" w:cs="Segoe UI Symbol"/>
                    <w:sz w:val="20"/>
                    <w:szCs w:val="20"/>
                  </w:rPr>
                  <w:t>☐</w:t>
                </w:r>
              </w:sdtContent>
            </w:sdt>
            <w:r w:rsidR="000B5960" w:rsidRPr="002E2899">
              <w:rPr>
                <w:rFonts w:ascii="Arial" w:hAnsi="Arial" w:cs="Arial"/>
                <w:sz w:val="20"/>
                <w:szCs w:val="20"/>
              </w:rPr>
              <w:t xml:space="preserve"> SME window</w:t>
            </w:r>
          </w:p>
          <w:p w14:paraId="1318A4E2" w14:textId="77777777" w:rsidR="000B5960" w:rsidRPr="002E2899" w:rsidRDefault="00DA0614" w:rsidP="000B5960">
            <w:pPr>
              <w:rPr>
                <w:rFonts w:ascii="Arial" w:hAnsi="Arial" w:cs="Arial"/>
                <w:sz w:val="20"/>
                <w:szCs w:val="20"/>
              </w:rPr>
            </w:pPr>
            <w:sdt>
              <w:sdtPr>
                <w:rPr>
                  <w:rFonts w:ascii="Arial" w:hAnsi="Arial" w:cs="Arial"/>
                  <w:sz w:val="20"/>
                  <w:szCs w:val="20"/>
                </w:rPr>
                <w:id w:val="1681311271"/>
                <w14:checkbox>
                  <w14:checked w14:val="0"/>
                  <w14:checkedState w14:val="2612" w14:font="MS Gothic"/>
                  <w14:uncheckedState w14:val="2610" w14:font="MS Gothic"/>
                </w14:checkbox>
              </w:sdtPr>
              <w:sdtEndPr/>
              <w:sdtContent>
                <w:r w:rsidR="000B5960" w:rsidRPr="002E2899">
                  <w:rPr>
                    <w:rFonts w:ascii="Segoe UI Symbol" w:eastAsia="MS Gothic" w:hAnsi="Segoe UI Symbol" w:cs="Segoe UI Symbol"/>
                    <w:sz w:val="20"/>
                    <w:szCs w:val="20"/>
                  </w:rPr>
                  <w:t>☐</w:t>
                </w:r>
              </w:sdtContent>
            </w:sdt>
            <w:r w:rsidR="000B5960" w:rsidRPr="002E2899">
              <w:rPr>
                <w:rFonts w:ascii="Arial" w:hAnsi="Arial" w:cs="Arial"/>
                <w:sz w:val="20"/>
                <w:szCs w:val="20"/>
              </w:rPr>
              <w:t xml:space="preserve"> Social Investment and Skills window</w:t>
            </w:r>
          </w:p>
        </w:tc>
      </w:tr>
      <w:tr w:rsidR="000B5960" w:rsidRPr="002E2899" w14:paraId="55751364" w14:textId="77777777" w:rsidTr="000B5960">
        <w:trPr>
          <w:trHeight w:val="144"/>
        </w:trPr>
        <w:tc>
          <w:tcPr>
            <w:tcW w:w="1437" w:type="dxa"/>
          </w:tcPr>
          <w:p w14:paraId="70F1E592" w14:textId="77777777" w:rsidR="000B5960" w:rsidRPr="00C34715" w:rsidRDefault="000B5960" w:rsidP="000B5960">
            <w:pPr>
              <w:rPr>
                <w:rFonts w:ascii="Arial" w:hAnsi="Arial" w:cs="Arial"/>
                <w:b/>
                <w:bCs/>
                <w:sz w:val="20"/>
                <w:szCs w:val="20"/>
              </w:rPr>
            </w:pPr>
            <w:r w:rsidRPr="00FE4697">
              <w:rPr>
                <w:rFonts w:ascii="Arial" w:hAnsi="Arial" w:cs="Arial"/>
                <w:b/>
                <w:bCs/>
                <w:sz w:val="20"/>
                <w:szCs w:val="20"/>
              </w:rPr>
              <w:t>2.</w:t>
            </w:r>
          </w:p>
        </w:tc>
        <w:tc>
          <w:tcPr>
            <w:tcW w:w="2494" w:type="dxa"/>
          </w:tcPr>
          <w:p w14:paraId="0B0110E5" w14:textId="77777777" w:rsidR="000B5960" w:rsidRPr="00C34715" w:rsidRDefault="000B5960" w:rsidP="000B5960">
            <w:pPr>
              <w:rPr>
                <w:rFonts w:ascii="Arial" w:hAnsi="Arial" w:cs="Arial"/>
                <w:b/>
                <w:bCs/>
                <w:sz w:val="20"/>
                <w:szCs w:val="20"/>
              </w:rPr>
            </w:pPr>
            <w:r w:rsidRPr="00FE4697">
              <w:rPr>
                <w:rFonts w:ascii="Arial" w:hAnsi="Arial" w:cs="Arial"/>
                <w:b/>
                <w:bCs/>
                <w:sz w:val="20"/>
                <w:szCs w:val="20"/>
              </w:rPr>
              <w:t>Policy Objective(s)</w:t>
            </w:r>
          </w:p>
        </w:tc>
        <w:tc>
          <w:tcPr>
            <w:tcW w:w="6417" w:type="dxa"/>
          </w:tcPr>
          <w:p w14:paraId="42F1E899" w14:textId="77777777" w:rsidR="000B5960" w:rsidRPr="002E2899" w:rsidRDefault="000B5960" w:rsidP="000B5960">
            <w:pPr>
              <w:rPr>
                <w:rFonts w:ascii="Arial" w:hAnsi="Arial" w:cs="Arial"/>
                <w:sz w:val="20"/>
                <w:szCs w:val="20"/>
              </w:rPr>
            </w:pPr>
            <w:r>
              <w:rPr>
                <w:rFonts w:ascii="Arial" w:hAnsi="Arial" w:cs="Arial"/>
                <w:sz w:val="20"/>
                <w:szCs w:val="20"/>
              </w:rPr>
              <w:t xml:space="preserve">See </w:t>
            </w:r>
            <w:r w:rsidRPr="002E2899">
              <w:rPr>
                <w:rFonts w:ascii="Arial" w:hAnsi="Arial" w:cs="Arial"/>
                <w:sz w:val="20"/>
                <w:szCs w:val="20"/>
              </w:rPr>
              <w:t xml:space="preserve">the </w:t>
            </w:r>
            <w:r>
              <w:rPr>
                <w:rFonts w:ascii="Arial" w:hAnsi="Arial" w:cs="Arial"/>
                <w:sz w:val="20"/>
                <w:szCs w:val="20"/>
              </w:rPr>
              <w:t xml:space="preserve">SIW </w:t>
            </w:r>
            <w:r w:rsidRPr="002E2899">
              <w:rPr>
                <w:rFonts w:ascii="Arial" w:hAnsi="Arial" w:cs="Arial"/>
                <w:sz w:val="20"/>
                <w:szCs w:val="20"/>
              </w:rPr>
              <w:t xml:space="preserve">policy note. </w:t>
            </w:r>
          </w:p>
        </w:tc>
      </w:tr>
      <w:tr w:rsidR="000B5960" w:rsidRPr="002E2899" w14:paraId="56A26608" w14:textId="77777777" w:rsidTr="000B5960">
        <w:trPr>
          <w:trHeight w:val="144"/>
        </w:trPr>
        <w:tc>
          <w:tcPr>
            <w:tcW w:w="1437" w:type="dxa"/>
          </w:tcPr>
          <w:p w14:paraId="0775CD0E" w14:textId="77777777" w:rsidR="000B5960" w:rsidRPr="00C34715" w:rsidRDefault="000B5960" w:rsidP="000B5960">
            <w:pPr>
              <w:rPr>
                <w:rFonts w:ascii="Arial" w:hAnsi="Arial" w:cs="Arial"/>
                <w:b/>
                <w:bCs/>
                <w:sz w:val="20"/>
                <w:szCs w:val="20"/>
              </w:rPr>
            </w:pPr>
            <w:r w:rsidRPr="00FE4697">
              <w:rPr>
                <w:rFonts w:ascii="Arial" w:hAnsi="Arial" w:cs="Arial"/>
                <w:b/>
                <w:bCs/>
                <w:sz w:val="20"/>
                <w:szCs w:val="20"/>
              </w:rPr>
              <w:t>3.</w:t>
            </w:r>
          </w:p>
        </w:tc>
        <w:tc>
          <w:tcPr>
            <w:tcW w:w="2494" w:type="dxa"/>
          </w:tcPr>
          <w:p w14:paraId="4D4850E0" w14:textId="77777777" w:rsidR="000B5960" w:rsidRPr="002E2899" w:rsidRDefault="000B5960" w:rsidP="000B5960">
            <w:pPr>
              <w:rPr>
                <w:rFonts w:ascii="Arial" w:hAnsi="Arial" w:cs="Arial"/>
                <w:b/>
                <w:sz w:val="20"/>
                <w:szCs w:val="20"/>
              </w:rPr>
            </w:pPr>
            <w:r>
              <w:rPr>
                <w:rFonts w:ascii="Arial" w:hAnsi="Arial" w:cs="Arial"/>
                <w:b/>
                <w:bCs/>
                <w:sz w:val="20"/>
                <w:szCs w:val="20"/>
              </w:rPr>
              <w:t xml:space="preserve">Financial </w:t>
            </w:r>
            <w:r w:rsidRPr="00FE4697">
              <w:rPr>
                <w:rFonts w:ascii="Arial" w:hAnsi="Arial" w:cs="Arial"/>
                <w:b/>
                <w:bCs/>
                <w:sz w:val="20"/>
                <w:szCs w:val="20"/>
              </w:rPr>
              <w:t>Product Name</w:t>
            </w:r>
          </w:p>
        </w:tc>
        <w:tc>
          <w:tcPr>
            <w:tcW w:w="6417" w:type="dxa"/>
          </w:tcPr>
          <w:p w14:paraId="6A538374" w14:textId="77777777" w:rsidR="000B5960" w:rsidRDefault="000B5960" w:rsidP="000B5960">
            <w:pPr>
              <w:rPr>
                <w:rFonts w:ascii="Arial" w:hAnsi="Arial" w:cs="Arial"/>
                <w:b/>
                <w:bCs/>
                <w:sz w:val="20"/>
                <w:szCs w:val="20"/>
              </w:rPr>
            </w:pPr>
            <w:r w:rsidRPr="00FE4697">
              <w:rPr>
                <w:rFonts w:ascii="Arial" w:hAnsi="Arial" w:cs="Arial"/>
                <w:b/>
                <w:bCs/>
                <w:i/>
                <w:iCs/>
                <w:sz w:val="20"/>
                <w:szCs w:val="20"/>
              </w:rPr>
              <w:t>InvestEU - SIW General Debt</w:t>
            </w:r>
            <w:r w:rsidRPr="00FE4697">
              <w:rPr>
                <w:rFonts w:ascii="Arial" w:hAnsi="Arial" w:cs="Arial"/>
                <w:b/>
                <w:bCs/>
                <w:sz w:val="20"/>
                <w:szCs w:val="20"/>
              </w:rPr>
              <w:t xml:space="preserve"> </w:t>
            </w:r>
          </w:p>
          <w:p w14:paraId="20E6F06E" w14:textId="77777777" w:rsidR="000B5960" w:rsidRPr="00C34715" w:rsidRDefault="000B5960" w:rsidP="000B5960">
            <w:pPr>
              <w:rPr>
                <w:rFonts w:ascii="Arial" w:hAnsi="Arial" w:cs="Arial"/>
                <w:b/>
                <w:bCs/>
                <w:sz w:val="20"/>
                <w:szCs w:val="20"/>
              </w:rPr>
            </w:pPr>
          </w:p>
        </w:tc>
      </w:tr>
      <w:tr w:rsidR="000B5960" w:rsidRPr="002E2899" w14:paraId="41F50BAE" w14:textId="77777777" w:rsidTr="000B5960">
        <w:trPr>
          <w:trHeight w:val="7026"/>
        </w:trPr>
        <w:tc>
          <w:tcPr>
            <w:tcW w:w="1437" w:type="dxa"/>
          </w:tcPr>
          <w:p w14:paraId="2F3111FB" w14:textId="77777777" w:rsidR="000B5960" w:rsidRPr="00C34715" w:rsidRDefault="000B5960" w:rsidP="000B5960">
            <w:pPr>
              <w:rPr>
                <w:rFonts w:ascii="Arial" w:hAnsi="Arial" w:cs="Arial"/>
                <w:b/>
                <w:bCs/>
                <w:sz w:val="20"/>
                <w:szCs w:val="20"/>
              </w:rPr>
            </w:pPr>
            <w:r w:rsidRPr="00FE4697">
              <w:rPr>
                <w:rFonts w:ascii="Arial" w:hAnsi="Arial" w:cs="Arial"/>
                <w:b/>
                <w:bCs/>
                <w:sz w:val="20"/>
                <w:szCs w:val="20"/>
              </w:rPr>
              <w:t>4.</w:t>
            </w:r>
          </w:p>
        </w:tc>
        <w:tc>
          <w:tcPr>
            <w:tcW w:w="2494" w:type="dxa"/>
          </w:tcPr>
          <w:p w14:paraId="088B9232" w14:textId="77777777" w:rsidR="000B5960" w:rsidRPr="00C34715" w:rsidRDefault="000B5960" w:rsidP="000B5960">
            <w:pPr>
              <w:rPr>
                <w:rFonts w:ascii="Arial" w:hAnsi="Arial" w:cs="Arial"/>
                <w:b/>
                <w:bCs/>
                <w:sz w:val="20"/>
                <w:szCs w:val="20"/>
              </w:rPr>
            </w:pPr>
            <w:r w:rsidRPr="00FE4697">
              <w:rPr>
                <w:rFonts w:ascii="Arial" w:hAnsi="Arial" w:cs="Arial"/>
                <w:b/>
                <w:bCs/>
                <w:sz w:val="20"/>
                <w:szCs w:val="20"/>
              </w:rPr>
              <w:t>Rationale, Objectives and Expected Impact</w:t>
            </w:r>
          </w:p>
        </w:tc>
        <w:tc>
          <w:tcPr>
            <w:tcW w:w="6417" w:type="dxa"/>
          </w:tcPr>
          <w:p w14:paraId="6D742AA1" w14:textId="77777777" w:rsidR="000B5960" w:rsidRPr="002E2899" w:rsidRDefault="000B5960" w:rsidP="000B5960">
            <w:pPr>
              <w:autoSpaceDE w:val="0"/>
              <w:autoSpaceDN w:val="0"/>
              <w:adjustRightInd w:val="0"/>
              <w:rPr>
                <w:rFonts w:ascii="Arial" w:hAnsi="Arial" w:cs="Arial"/>
                <w:sz w:val="20"/>
                <w:szCs w:val="20"/>
              </w:rPr>
            </w:pPr>
            <w:r w:rsidRPr="002E2899">
              <w:rPr>
                <w:rFonts w:ascii="Arial" w:hAnsi="Arial" w:cs="Arial"/>
                <w:sz w:val="20"/>
                <w:szCs w:val="20"/>
              </w:rPr>
              <w:t xml:space="preserve">This </w:t>
            </w:r>
            <w:r>
              <w:rPr>
                <w:rFonts w:ascii="Arial" w:hAnsi="Arial" w:cs="Arial"/>
                <w:sz w:val="20"/>
                <w:szCs w:val="20"/>
              </w:rPr>
              <w:t xml:space="preserve">InvestEU – SIW financial </w:t>
            </w:r>
            <w:r w:rsidRPr="002E2899">
              <w:rPr>
                <w:rFonts w:ascii="Arial" w:hAnsi="Arial" w:cs="Arial"/>
                <w:sz w:val="20"/>
                <w:szCs w:val="20"/>
              </w:rPr>
              <w:t>product cover</w:t>
            </w:r>
            <w:r>
              <w:rPr>
                <w:rFonts w:ascii="Arial" w:hAnsi="Arial" w:cs="Arial"/>
                <w:sz w:val="20"/>
                <w:szCs w:val="20"/>
              </w:rPr>
              <w:t>s</w:t>
            </w:r>
            <w:r w:rsidRPr="002E2899">
              <w:rPr>
                <w:rFonts w:ascii="Arial" w:hAnsi="Arial" w:cs="Arial"/>
                <w:sz w:val="20"/>
                <w:szCs w:val="20"/>
              </w:rPr>
              <w:t xml:space="preserve"> the following </w:t>
            </w:r>
            <w:r>
              <w:rPr>
                <w:rFonts w:ascii="Arial" w:hAnsi="Arial" w:cs="Arial"/>
                <w:sz w:val="20"/>
                <w:szCs w:val="20"/>
              </w:rPr>
              <w:t>policy priorities</w:t>
            </w:r>
            <w:r w:rsidRPr="002E2899">
              <w:rPr>
                <w:rFonts w:ascii="Arial" w:hAnsi="Arial" w:cs="Arial"/>
                <w:sz w:val="20"/>
                <w:szCs w:val="20"/>
              </w:rPr>
              <w:t>:</w:t>
            </w:r>
          </w:p>
          <w:p w14:paraId="1C94519C" w14:textId="77777777" w:rsidR="000B5960" w:rsidRPr="002E2899" w:rsidRDefault="000B5960" w:rsidP="000B5960">
            <w:pPr>
              <w:pStyle w:val="ListParagraph"/>
              <w:numPr>
                <w:ilvl w:val="0"/>
                <w:numId w:val="11"/>
              </w:numPr>
              <w:autoSpaceDE w:val="0"/>
              <w:autoSpaceDN w:val="0"/>
              <w:adjustRightInd w:val="0"/>
              <w:rPr>
                <w:rFonts w:ascii="Arial" w:hAnsi="Arial" w:cs="Arial"/>
                <w:sz w:val="20"/>
                <w:szCs w:val="20"/>
              </w:rPr>
            </w:pPr>
            <w:r>
              <w:rPr>
                <w:rFonts w:ascii="Arial" w:hAnsi="Arial" w:cs="Arial"/>
                <w:sz w:val="20"/>
                <w:szCs w:val="20"/>
              </w:rPr>
              <w:t>Sustainable Transport</w:t>
            </w:r>
          </w:p>
          <w:p w14:paraId="010B8F8A" w14:textId="77777777" w:rsidR="000B5960" w:rsidRPr="00B036CE" w:rsidRDefault="000B5960" w:rsidP="000B5960">
            <w:pPr>
              <w:pStyle w:val="ListParagraph"/>
              <w:numPr>
                <w:ilvl w:val="0"/>
                <w:numId w:val="11"/>
              </w:numPr>
              <w:autoSpaceDE w:val="0"/>
              <w:autoSpaceDN w:val="0"/>
              <w:adjustRightInd w:val="0"/>
              <w:rPr>
                <w:rFonts w:ascii="Arial" w:hAnsi="Arial" w:cs="Arial"/>
                <w:sz w:val="20"/>
                <w:szCs w:val="20"/>
              </w:rPr>
            </w:pPr>
            <w:r w:rsidRPr="00B036CE">
              <w:rPr>
                <w:rFonts w:ascii="Arial" w:hAnsi="Arial" w:cs="Arial"/>
                <w:sz w:val="20"/>
                <w:szCs w:val="20"/>
              </w:rPr>
              <w:t>Clean Energy Transition</w:t>
            </w:r>
          </w:p>
          <w:p w14:paraId="338E47A6" w14:textId="77777777" w:rsidR="000B5960" w:rsidRPr="00E67AFB" w:rsidRDefault="000B5960" w:rsidP="000B5960">
            <w:pPr>
              <w:pStyle w:val="ListParagraph"/>
              <w:numPr>
                <w:ilvl w:val="0"/>
                <w:numId w:val="11"/>
              </w:numPr>
              <w:autoSpaceDE w:val="0"/>
              <w:autoSpaceDN w:val="0"/>
              <w:adjustRightInd w:val="0"/>
              <w:rPr>
                <w:rFonts w:ascii="Arial" w:hAnsi="Arial" w:cs="Arial"/>
                <w:sz w:val="20"/>
                <w:szCs w:val="20"/>
              </w:rPr>
            </w:pPr>
            <w:r w:rsidRPr="00B036CE">
              <w:rPr>
                <w:rFonts w:ascii="Arial" w:hAnsi="Arial" w:cs="Arial"/>
                <w:sz w:val="20"/>
                <w:szCs w:val="20"/>
              </w:rPr>
              <w:t xml:space="preserve">Environment and Resources  </w:t>
            </w:r>
          </w:p>
          <w:p w14:paraId="745F6CB7" w14:textId="77777777" w:rsidR="000B5960" w:rsidRPr="00E67AFB" w:rsidRDefault="000B5960" w:rsidP="000B5960">
            <w:pPr>
              <w:pStyle w:val="ListParagraph"/>
              <w:numPr>
                <w:ilvl w:val="0"/>
                <w:numId w:val="11"/>
              </w:numPr>
              <w:autoSpaceDE w:val="0"/>
              <w:autoSpaceDN w:val="0"/>
              <w:adjustRightInd w:val="0"/>
              <w:rPr>
                <w:rFonts w:ascii="Arial" w:hAnsi="Arial" w:cs="Arial"/>
                <w:sz w:val="20"/>
                <w:szCs w:val="20"/>
              </w:rPr>
            </w:pPr>
            <w:r w:rsidRPr="00E67AFB">
              <w:rPr>
                <w:rFonts w:ascii="Arial" w:hAnsi="Arial" w:cs="Arial"/>
                <w:sz w:val="20"/>
                <w:szCs w:val="20"/>
              </w:rPr>
              <w:t>Digital Connectivity</w:t>
            </w:r>
          </w:p>
          <w:p w14:paraId="0BDAA3C7" w14:textId="77777777" w:rsidR="000B5960" w:rsidRPr="00A528DC" w:rsidRDefault="000B5960" w:rsidP="000B5960">
            <w:pPr>
              <w:pStyle w:val="ListParagraph"/>
              <w:numPr>
                <w:ilvl w:val="0"/>
                <w:numId w:val="11"/>
              </w:numPr>
              <w:autoSpaceDE w:val="0"/>
              <w:autoSpaceDN w:val="0"/>
              <w:adjustRightInd w:val="0"/>
              <w:rPr>
                <w:rFonts w:ascii="Arial" w:hAnsi="Arial" w:cs="Arial"/>
                <w:sz w:val="20"/>
                <w:szCs w:val="20"/>
              </w:rPr>
            </w:pPr>
            <w:r w:rsidRPr="00E67AFB">
              <w:rPr>
                <w:rFonts w:ascii="Arial" w:hAnsi="Arial" w:cs="Arial"/>
                <w:sz w:val="20"/>
                <w:szCs w:val="20"/>
              </w:rPr>
              <w:t>Space &amp; Defence</w:t>
            </w:r>
          </w:p>
          <w:p w14:paraId="5DC9CBC1" w14:textId="77777777" w:rsidR="000B5960" w:rsidRPr="00C44592" w:rsidRDefault="000B5960" w:rsidP="000B5960">
            <w:pPr>
              <w:pStyle w:val="ListParagraph"/>
              <w:numPr>
                <w:ilvl w:val="0"/>
                <w:numId w:val="11"/>
              </w:numPr>
              <w:autoSpaceDE w:val="0"/>
              <w:autoSpaceDN w:val="0"/>
              <w:adjustRightInd w:val="0"/>
              <w:rPr>
                <w:rFonts w:ascii="Arial" w:hAnsi="Arial" w:cs="Arial"/>
                <w:sz w:val="20"/>
                <w:szCs w:val="20"/>
              </w:rPr>
            </w:pPr>
            <w:r w:rsidRPr="00C44592">
              <w:rPr>
                <w:rFonts w:ascii="Arial" w:hAnsi="Arial" w:cs="Arial"/>
                <w:sz w:val="20"/>
                <w:szCs w:val="20"/>
              </w:rPr>
              <w:t>Other priorities (</w:t>
            </w:r>
            <w:r>
              <w:rPr>
                <w:rFonts w:ascii="Arial" w:hAnsi="Arial" w:cs="Arial"/>
                <w:sz w:val="20"/>
                <w:szCs w:val="20"/>
              </w:rPr>
              <w:t xml:space="preserve">e.g. </w:t>
            </w:r>
            <w:r w:rsidRPr="00C44592">
              <w:rPr>
                <w:rFonts w:ascii="Arial" w:hAnsi="Arial" w:cs="Arial"/>
                <w:sz w:val="20"/>
                <w:szCs w:val="20"/>
              </w:rPr>
              <w:t>Tourism, aquaculture)</w:t>
            </w:r>
          </w:p>
          <w:p w14:paraId="219A8960" w14:textId="77777777" w:rsidR="000B5960" w:rsidRDefault="000B5960" w:rsidP="000B5960">
            <w:pPr>
              <w:autoSpaceDE w:val="0"/>
              <w:autoSpaceDN w:val="0"/>
              <w:adjustRightInd w:val="0"/>
              <w:rPr>
                <w:rFonts w:ascii="Arial" w:hAnsi="Arial" w:cs="Arial"/>
                <w:sz w:val="20"/>
                <w:szCs w:val="20"/>
              </w:rPr>
            </w:pPr>
          </w:p>
          <w:p w14:paraId="4094EEAF" w14:textId="77777777" w:rsidR="000B5960" w:rsidRDefault="000B5960" w:rsidP="000B5960">
            <w:pPr>
              <w:autoSpaceDE w:val="0"/>
              <w:autoSpaceDN w:val="0"/>
              <w:adjustRightInd w:val="0"/>
              <w:rPr>
                <w:rFonts w:ascii="Arial" w:hAnsi="Arial" w:cs="Arial"/>
                <w:sz w:val="20"/>
                <w:szCs w:val="20"/>
              </w:rPr>
            </w:pPr>
            <w:r w:rsidRPr="002E2899">
              <w:rPr>
                <w:rFonts w:ascii="Arial" w:hAnsi="Arial" w:cs="Arial"/>
                <w:sz w:val="20"/>
                <w:szCs w:val="20"/>
              </w:rPr>
              <w:t xml:space="preserve">Please refer to the </w:t>
            </w:r>
            <w:r>
              <w:rPr>
                <w:rFonts w:ascii="Arial" w:hAnsi="Arial" w:cs="Arial"/>
                <w:sz w:val="20"/>
                <w:szCs w:val="20"/>
              </w:rPr>
              <w:t xml:space="preserve">SIW </w:t>
            </w:r>
            <w:r w:rsidRPr="002E2899">
              <w:rPr>
                <w:rFonts w:ascii="Arial" w:hAnsi="Arial" w:cs="Arial"/>
                <w:sz w:val="20"/>
                <w:szCs w:val="20"/>
              </w:rPr>
              <w:t>policy note for the detailed description.</w:t>
            </w:r>
          </w:p>
          <w:p w14:paraId="2C957C01" w14:textId="77777777" w:rsidR="000B5960" w:rsidRDefault="000B5960" w:rsidP="000B5960">
            <w:pPr>
              <w:autoSpaceDE w:val="0"/>
              <w:autoSpaceDN w:val="0"/>
              <w:adjustRightInd w:val="0"/>
              <w:rPr>
                <w:rFonts w:ascii="Arial" w:hAnsi="Arial" w:cs="Arial"/>
                <w:sz w:val="20"/>
                <w:szCs w:val="20"/>
              </w:rPr>
            </w:pPr>
          </w:p>
          <w:p w14:paraId="7DC2F053" w14:textId="77777777" w:rsidR="000B5960" w:rsidRDefault="000B5960" w:rsidP="000B5960">
            <w:pPr>
              <w:autoSpaceDE w:val="0"/>
              <w:autoSpaceDN w:val="0"/>
              <w:adjustRightInd w:val="0"/>
              <w:rPr>
                <w:rFonts w:ascii="Arial" w:hAnsi="Arial" w:cs="Arial"/>
                <w:sz w:val="20"/>
                <w:szCs w:val="20"/>
              </w:rPr>
            </w:pPr>
            <w:r w:rsidRPr="009F7B0E">
              <w:rPr>
                <w:rFonts w:ascii="Arial" w:hAnsi="Arial" w:cs="Arial"/>
                <w:sz w:val="20"/>
                <w:szCs w:val="20"/>
              </w:rPr>
              <w:t xml:space="preserve">In addition, this InvestEU – SIW financial product </w:t>
            </w:r>
            <w:r>
              <w:rPr>
                <w:rFonts w:ascii="Arial" w:hAnsi="Arial" w:cs="Arial"/>
                <w:sz w:val="20"/>
                <w:szCs w:val="20"/>
              </w:rPr>
              <w:t xml:space="preserve">may also </w:t>
            </w:r>
            <w:r w:rsidRPr="009F7B0E">
              <w:rPr>
                <w:rFonts w:ascii="Arial" w:hAnsi="Arial" w:cs="Arial"/>
                <w:sz w:val="20"/>
                <w:szCs w:val="20"/>
              </w:rPr>
              <w:t>cover any other relevant areas linked to sustainable infrastructure listed in Annex II of the InvestEU Regulation. This mainly relates to points 1, 2, 3, 4, 9, 9a, 10, 12(d), 13 and 13a of the Annex II. This will be subject to policy prioritisation as described in point 6a below.</w:t>
            </w:r>
          </w:p>
          <w:p w14:paraId="3A8AA8AC" w14:textId="77777777" w:rsidR="000B5960" w:rsidRDefault="000B5960" w:rsidP="000B5960">
            <w:pPr>
              <w:pStyle w:val="ListParagraph"/>
              <w:autoSpaceDE w:val="0"/>
              <w:autoSpaceDN w:val="0"/>
              <w:adjustRightInd w:val="0"/>
              <w:ind w:left="0"/>
              <w:rPr>
                <w:rFonts w:ascii="Arial" w:hAnsi="Arial" w:cs="Arial"/>
                <w:i/>
                <w:iCs/>
                <w:sz w:val="20"/>
                <w:szCs w:val="20"/>
              </w:rPr>
            </w:pPr>
          </w:p>
          <w:p w14:paraId="7475A686" w14:textId="77777777" w:rsidR="000B5960" w:rsidRDefault="000B5960" w:rsidP="000B5960">
            <w:pPr>
              <w:pStyle w:val="ListParagraph"/>
              <w:autoSpaceDE w:val="0"/>
              <w:autoSpaceDN w:val="0"/>
              <w:adjustRightInd w:val="0"/>
              <w:ind w:left="0"/>
              <w:rPr>
                <w:rFonts w:ascii="Arial" w:hAnsi="Arial" w:cs="Arial"/>
                <w:sz w:val="20"/>
                <w:szCs w:val="20"/>
              </w:rPr>
            </w:pPr>
            <w:r w:rsidRPr="002E2899">
              <w:rPr>
                <w:rFonts w:ascii="Arial" w:hAnsi="Arial" w:cs="Arial"/>
                <w:sz w:val="20"/>
                <w:szCs w:val="20"/>
              </w:rPr>
              <w:t xml:space="preserve">The </w:t>
            </w:r>
            <w:r>
              <w:rPr>
                <w:rFonts w:ascii="Arial" w:hAnsi="Arial" w:cs="Arial"/>
                <w:sz w:val="20"/>
                <w:szCs w:val="20"/>
              </w:rPr>
              <w:t>product also addresses the following priorities:</w:t>
            </w:r>
          </w:p>
          <w:p w14:paraId="60824CED" w14:textId="77777777" w:rsidR="000B5960" w:rsidRDefault="000B5960" w:rsidP="000B5960">
            <w:pPr>
              <w:pStyle w:val="ListParagraph"/>
              <w:numPr>
                <w:ilvl w:val="0"/>
                <w:numId w:val="34"/>
              </w:numPr>
              <w:autoSpaceDE w:val="0"/>
              <w:autoSpaceDN w:val="0"/>
              <w:adjustRightInd w:val="0"/>
              <w:rPr>
                <w:rFonts w:ascii="Arial" w:hAnsi="Arial" w:cs="Arial"/>
                <w:i/>
                <w:iCs/>
                <w:sz w:val="20"/>
                <w:szCs w:val="20"/>
              </w:rPr>
            </w:pPr>
            <w:r>
              <w:rPr>
                <w:rFonts w:ascii="Arial" w:hAnsi="Arial" w:cs="Arial"/>
                <w:sz w:val="20"/>
                <w:szCs w:val="20"/>
              </w:rPr>
              <w:t>proje</w:t>
            </w:r>
            <w:r w:rsidRPr="002E2899">
              <w:rPr>
                <w:rFonts w:ascii="Arial" w:hAnsi="Arial" w:cs="Arial"/>
                <w:sz w:val="20"/>
                <w:szCs w:val="20"/>
              </w:rPr>
              <w:t>cts that are sustainable and contribute to climate and environmental objectives in line with the EU commitments</w:t>
            </w:r>
            <w:r>
              <w:rPr>
                <w:rFonts w:ascii="Arial" w:hAnsi="Arial" w:cs="Arial"/>
                <w:sz w:val="20"/>
                <w:szCs w:val="20"/>
              </w:rPr>
              <w:t>.</w:t>
            </w:r>
          </w:p>
          <w:p w14:paraId="01CE0FD2" w14:textId="77777777" w:rsidR="000B5960" w:rsidRPr="00895923" w:rsidRDefault="000B5960" w:rsidP="000B5960">
            <w:pPr>
              <w:pStyle w:val="ListParagraph"/>
              <w:numPr>
                <w:ilvl w:val="0"/>
                <w:numId w:val="34"/>
              </w:numPr>
              <w:autoSpaceDE w:val="0"/>
              <w:autoSpaceDN w:val="0"/>
              <w:adjustRightInd w:val="0"/>
              <w:rPr>
                <w:rFonts w:ascii="Arial" w:hAnsi="Arial" w:cs="Arial"/>
                <w:i/>
                <w:iCs/>
                <w:sz w:val="20"/>
                <w:szCs w:val="20"/>
              </w:rPr>
            </w:pPr>
            <w:r>
              <w:rPr>
                <w:rFonts w:ascii="Arial" w:hAnsi="Arial" w:cs="Arial"/>
                <w:sz w:val="20"/>
                <w:szCs w:val="20"/>
              </w:rPr>
              <w:t>whenever possible support financing solutions</w:t>
            </w:r>
            <w:r w:rsidRPr="00632163">
              <w:rPr>
                <w:rFonts w:ascii="Arial" w:hAnsi="Arial" w:cs="Arial"/>
                <w:sz w:val="20"/>
                <w:szCs w:val="20"/>
              </w:rPr>
              <w:t xml:space="preserve"> such as loans and bonds credit enhancing and subordinated debt financing, and projects that attract capital market financing and</w:t>
            </w:r>
          </w:p>
          <w:p w14:paraId="59419818" w14:textId="77777777" w:rsidR="000B5960" w:rsidRPr="001D6670" w:rsidRDefault="000B5960" w:rsidP="000B5960">
            <w:pPr>
              <w:pStyle w:val="ListParagraph"/>
              <w:numPr>
                <w:ilvl w:val="0"/>
                <w:numId w:val="34"/>
              </w:numPr>
              <w:autoSpaceDE w:val="0"/>
              <w:autoSpaceDN w:val="0"/>
              <w:adjustRightInd w:val="0"/>
              <w:rPr>
                <w:rFonts w:ascii="Arial" w:hAnsi="Arial" w:cs="Arial"/>
                <w:i/>
                <w:iCs/>
                <w:sz w:val="20"/>
                <w:szCs w:val="20"/>
              </w:rPr>
            </w:pPr>
            <w:r w:rsidRPr="00632163">
              <w:rPr>
                <w:rFonts w:ascii="Arial" w:hAnsi="Arial" w:cs="Arial"/>
                <w:sz w:val="20"/>
                <w:szCs w:val="20"/>
              </w:rPr>
              <w:t>promotion of the green bond market</w:t>
            </w:r>
            <w:r>
              <w:rPr>
                <w:rFonts w:ascii="Arial" w:hAnsi="Arial" w:cs="Arial"/>
                <w:sz w:val="20"/>
                <w:szCs w:val="20"/>
              </w:rPr>
              <w:t>.</w:t>
            </w:r>
          </w:p>
          <w:p w14:paraId="4474C263" w14:textId="77777777" w:rsidR="000B5960" w:rsidRDefault="000B5960" w:rsidP="000B5960">
            <w:pPr>
              <w:autoSpaceDE w:val="0"/>
              <w:autoSpaceDN w:val="0"/>
              <w:adjustRightInd w:val="0"/>
              <w:rPr>
                <w:rFonts w:ascii="Arial" w:hAnsi="Arial" w:cs="Arial"/>
                <w:iCs/>
                <w:sz w:val="20"/>
                <w:szCs w:val="20"/>
              </w:rPr>
            </w:pPr>
          </w:p>
          <w:p w14:paraId="4E522F7F" w14:textId="25D630EA" w:rsidR="000B5960" w:rsidRPr="001D6670" w:rsidRDefault="000B5960" w:rsidP="000B5960">
            <w:pPr>
              <w:autoSpaceDE w:val="0"/>
              <w:autoSpaceDN w:val="0"/>
              <w:adjustRightInd w:val="0"/>
              <w:rPr>
                <w:rFonts w:ascii="Arial" w:hAnsi="Arial" w:cs="Arial"/>
                <w:iCs/>
                <w:sz w:val="20"/>
                <w:szCs w:val="20"/>
              </w:rPr>
            </w:pPr>
            <w:r w:rsidRPr="00D778F8">
              <w:rPr>
                <w:rFonts w:ascii="Arial" w:hAnsi="Arial" w:cs="Arial"/>
                <w:iCs/>
                <w:sz w:val="20"/>
                <w:szCs w:val="20"/>
              </w:rPr>
              <w:t xml:space="preserve">As further detailed in rows 6 and 8, the </w:t>
            </w:r>
            <w:r w:rsidRPr="00D778F8">
              <w:rPr>
                <w:rFonts w:ascii="Arial" w:hAnsi="Arial" w:cs="Arial"/>
                <w:sz w:val="20"/>
                <w:szCs w:val="20"/>
              </w:rPr>
              <w:t xml:space="preserve"> Implementing Partner shall propose which particular policy area(s) of the SIW and which particular geography it would want to target to ensure complementarity with its existing product range and additionality under InvestEU</w:t>
            </w:r>
            <w:r w:rsidR="00DA0614">
              <w:rPr>
                <w:rFonts w:ascii="Arial" w:hAnsi="Arial" w:cs="Arial"/>
                <w:sz w:val="20"/>
                <w:szCs w:val="20"/>
              </w:rPr>
              <w:t>.</w:t>
            </w:r>
            <w:bookmarkStart w:id="0" w:name="_GoBack"/>
            <w:bookmarkEnd w:id="0"/>
          </w:p>
        </w:tc>
      </w:tr>
      <w:tr w:rsidR="000B5960" w:rsidRPr="002E2899" w14:paraId="4CF30C27" w14:textId="77777777" w:rsidTr="000B5960">
        <w:trPr>
          <w:trHeight w:val="144"/>
        </w:trPr>
        <w:tc>
          <w:tcPr>
            <w:tcW w:w="1437" w:type="dxa"/>
          </w:tcPr>
          <w:p w14:paraId="70CDE54E" w14:textId="77777777" w:rsidR="000B5960" w:rsidRPr="00C34715" w:rsidRDefault="000B5960" w:rsidP="000B5960">
            <w:pPr>
              <w:rPr>
                <w:rFonts w:ascii="Arial" w:hAnsi="Arial" w:cs="Arial"/>
                <w:b/>
                <w:bCs/>
                <w:sz w:val="20"/>
                <w:szCs w:val="20"/>
              </w:rPr>
            </w:pPr>
            <w:r w:rsidRPr="00FE4697">
              <w:rPr>
                <w:rFonts w:ascii="Arial" w:hAnsi="Arial" w:cs="Arial"/>
                <w:b/>
                <w:bCs/>
                <w:sz w:val="20"/>
                <w:szCs w:val="20"/>
              </w:rPr>
              <w:t>5.</w:t>
            </w:r>
          </w:p>
        </w:tc>
        <w:tc>
          <w:tcPr>
            <w:tcW w:w="2494" w:type="dxa"/>
          </w:tcPr>
          <w:p w14:paraId="25E2CC09" w14:textId="77777777" w:rsidR="000B5960" w:rsidRPr="00C34715" w:rsidRDefault="000B5960" w:rsidP="000B5960">
            <w:pPr>
              <w:rPr>
                <w:rFonts w:ascii="Arial" w:hAnsi="Arial" w:cs="Arial"/>
                <w:b/>
                <w:bCs/>
                <w:sz w:val="20"/>
                <w:szCs w:val="20"/>
              </w:rPr>
            </w:pPr>
            <w:r w:rsidRPr="00FE4697">
              <w:rPr>
                <w:rFonts w:ascii="Arial" w:hAnsi="Arial" w:cs="Arial"/>
                <w:b/>
                <w:bCs/>
                <w:sz w:val="20"/>
                <w:szCs w:val="20"/>
              </w:rPr>
              <w:t xml:space="preserve">New /existing </w:t>
            </w:r>
            <w:r>
              <w:rPr>
                <w:rFonts w:ascii="Arial" w:hAnsi="Arial" w:cs="Arial"/>
                <w:b/>
                <w:bCs/>
                <w:sz w:val="20"/>
                <w:szCs w:val="20"/>
              </w:rPr>
              <w:t xml:space="preserve">financial </w:t>
            </w:r>
            <w:r w:rsidRPr="00FE4697">
              <w:rPr>
                <w:rFonts w:ascii="Arial" w:hAnsi="Arial" w:cs="Arial"/>
                <w:b/>
                <w:bCs/>
                <w:sz w:val="20"/>
                <w:szCs w:val="20"/>
              </w:rPr>
              <w:t>product</w:t>
            </w:r>
          </w:p>
        </w:tc>
        <w:tc>
          <w:tcPr>
            <w:tcW w:w="6417" w:type="dxa"/>
          </w:tcPr>
          <w:p w14:paraId="08BA41ED" w14:textId="77777777" w:rsidR="000B5960" w:rsidRPr="002E2899" w:rsidRDefault="00DA0614" w:rsidP="000B5960">
            <w:pPr>
              <w:tabs>
                <w:tab w:val="left" w:pos="915"/>
              </w:tabs>
              <w:autoSpaceDE w:val="0"/>
              <w:autoSpaceDN w:val="0"/>
              <w:adjustRightInd w:val="0"/>
              <w:rPr>
                <w:rFonts w:ascii="Arial" w:hAnsi="Arial" w:cs="Arial"/>
                <w:sz w:val="20"/>
                <w:szCs w:val="20"/>
              </w:rPr>
            </w:pPr>
            <w:sdt>
              <w:sdtPr>
                <w:rPr>
                  <w:rFonts w:ascii="Arial" w:hAnsi="Arial" w:cs="Arial"/>
                  <w:sz w:val="20"/>
                  <w:szCs w:val="20"/>
                </w:rPr>
                <w:id w:val="844358298"/>
                <w14:checkbox>
                  <w14:checked w14:val="1"/>
                  <w14:checkedState w14:val="2612" w14:font="MS Gothic"/>
                  <w14:uncheckedState w14:val="2610" w14:font="MS Gothic"/>
                </w14:checkbox>
              </w:sdtPr>
              <w:sdtEndPr/>
              <w:sdtContent>
                <w:r w:rsidR="000B5960">
                  <w:rPr>
                    <w:rFonts w:ascii="MS Gothic" w:eastAsia="MS Gothic" w:hAnsi="MS Gothic" w:cs="Segoe UI Symbol" w:hint="eastAsia"/>
                    <w:sz w:val="20"/>
                    <w:szCs w:val="20"/>
                  </w:rPr>
                  <w:t>☒</w:t>
                </w:r>
              </w:sdtContent>
            </w:sdt>
            <w:r w:rsidR="000B5960" w:rsidRPr="002E2899">
              <w:rPr>
                <w:rFonts w:ascii="Arial" w:hAnsi="Arial" w:cs="Arial"/>
                <w:sz w:val="20"/>
                <w:szCs w:val="20"/>
              </w:rPr>
              <w:t xml:space="preserve"> New </w:t>
            </w:r>
            <w:r w:rsidR="000B5960">
              <w:rPr>
                <w:rFonts w:ascii="Arial" w:hAnsi="Arial" w:cs="Arial"/>
                <w:sz w:val="20"/>
                <w:szCs w:val="20"/>
              </w:rPr>
              <w:t xml:space="preserve">InvestEU financial </w:t>
            </w:r>
            <w:r w:rsidR="000B5960" w:rsidRPr="002E2899">
              <w:rPr>
                <w:rFonts w:ascii="Arial" w:hAnsi="Arial" w:cs="Arial"/>
                <w:sz w:val="20"/>
                <w:szCs w:val="20"/>
              </w:rPr>
              <w:t>product</w:t>
            </w:r>
          </w:p>
          <w:p w14:paraId="6C7FCD9A" w14:textId="77777777" w:rsidR="000B5960" w:rsidRPr="002E2899" w:rsidRDefault="00DA0614" w:rsidP="000B5960">
            <w:pPr>
              <w:tabs>
                <w:tab w:val="left" w:pos="915"/>
              </w:tabs>
              <w:autoSpaceDE w:val="0"/>
              <w:autoSpaceDN w:val="0"/>
              <w:adjustRightInd w:val="0"/>
              <w:rPr>
                <w:rFonts w:ascii="Arial" w:hAnsi="Arial" w:cs="Arial"/>
                <w:sz w:val="20"/>
                <w:szCs w:val="20"/>
              </w:rPr>
            </w:pPr>
            <w:sdt>
              <w:sdtPr>
                <w:rPr>
                  <w:rFonts w:ascii="Arial" w:hAnsi="Arial" w:cs="Arial"/>
                  <w:sz w:val="20"/>
                  <w:szCs w:val="20"/>
                </w:rPr>
                <w:id w:val="-2024697802"/>
                <w14:checkbox>
                  <w14:checked w14:val="0"/>
                  <w14:checkedState w14:val="2612" w14:font="MS Gothic"/>
                  <w14:uncheckedState w14:val="2610" w14:font="MS Gothic"/>
                </w14:checkbox>
              </w:sdtPr>
              <w:sdtEndPr/>
              <w:sdtContent>
                <w:r w:rsidR="000B5960">
                  <w:rPr>
                    <w:rFonts w:ascii="MS Gothic" w:eastAsia="MS Gothic" w:hAnsi="MS Gothic" w:cs="Segoe UI Symbol" w:hint="eastAsia"/>
                    <w:sz w:val="20"/>
                    <w:szCs w:val="20"/>
                  </w:rPr>
                  <w:t>☐</w:t>
                </w:r>
              </w:sdtContent>
            </w:sdt>
            <w:r w:rsidR="000B5960" w:rsidRPr="002E2899">
              <w:rPr>
                <w:rFonts w:ascii="Arial" w:hAnsi="Arial" w:cs="Arial"/>
                <w:sz w:val="20"/>
                <w:szCs w:val="20"/>
              </w:rPr>
              <w:t xml:space="preserve"> Continuation of existing </w:t>
            </w:r>
            <w:r w:rsidR="000B5960">
              <w:rPr>
                <w:rFonts w:ascii="Arial" w:hAnsi="Arial" w:cs="Arial"/>
                <w:sz w:val="20"/>
                <w:szCs w:val="20"/>
              </w:rPr>
              <w:t>EU financial support mechanisms</w:t>
            </w:r>
          </w:p>
          <w:p w14:paraId="7DFF8919" w14:textId="77777777" w:rsidR="000B5960" w:rsidRDefault="000B5960" w:rsidP="000B5960">
            <w:pPr>
              <w:tabs>
                <w:tab w:val="left" w:pos="915"/>
              </w:tabs>
              <w:autoSpaceDE w:val="0"/>
              <w:autoSpaceDN w:val="0"/>
              <w:adjustRightInd w:val="0"/>
              <w:rPr>
                <w:rFonts w:ascii="Arial" w:hAnsi="Arial" w:cs="Arial"/>
                <w:sz w:val="20"/>
                <w:szCs w:val="20"/>
              </w:rPr>
            </w:pPr>
          </w:p>
          <w:p w14:paraId="4F3B8389" w14:textId="77777777" w:rsidR="000B5960" w:rsidRDefault="000B5960" w:rsidP="000B5960">
            <w:pPr>
              <w:rPr>
                <w:rFonts w:ascii="Arial" w:hAnsi="Arial" w:cs="Arial"/>
                <w:sz w:val="20"/>
                <w:szCs w:val="20"/>
              </w:rPr>
            </w:pPr>
            <w:r>
              <w:rPr>
                <w:rFonts w:ascii="Arial" w:hAnsi="Arial" w:cs="Arial"/>
                <w:sz w:val="20"/>
                <w:szCs w:val="20"/>
              </w:rPr>
              <w:t xml:space="preserve">[to be developed by the implementing partner based on their experience ] </w:t>
            </w:r>
          </w:p>
          <w:p w14:paraId="3931F78F" w14:textId="77777777" w:rsidR="000B5960" w:rsidRPr="002E2899" w:rsidRDefault="000B5960" w:rsidP="000B5960">
            <w:pPr>
              <w:tabs>
                <w:tab w:val="left" w:pos="915"/>
              </w:tabs>
              <w:autoSpaceDE w:val="0"/>
              <w:autoSpaceDN w:val="0"/>
              <w:adjustRightInd w:val="0"/>
              <w:rPr>
                <w:rFonts w:ascii="Arial" w:hAnsi="Arial" w:cs="Arial"/>
                <w:sz w:val="20"/>
                <w:szCs w:val="20"/>
              </w:rPr>
            </w:pPr>
            <w:r w:rsidRPr="000D6542">
              <w:rPr>
                <w:rFonts w:ascii="Arial" w:hAnsi="Arial" w:cs="Arial"/>
                <w:sz w:val="20"/>
                <w:szCs w:val="20"/>
              </w:rPr>
              <w:t xml:space="preserve"> </w:t>
            </w:r>
          </w:p>
        </w:tc>
      </w:tr>
      <w:tr w:rsidR="000B5960" w:rsidRPr="002E2899" w14:paraId="3D2B9588" w14:textId="77777777" w:rsidTr="000B5960">
        <w:trPr>
          <w:trHeight w:val="144"/>
        </w:trPr>
        <w:tc>
          <w:tcPr>
            <w:tcW w:w="1437" w:type="dxa"/>
          </w:tcPr>
          <w:p w14:paraId="232620E4" w14:textId="77777777" w:rsidR="000B5960" w:rsidRPr="00C34715" w:rsidRDefault="000B5960" w:rsidP="000B5960">
            <w:pPr>
              <w:rPr>
                <w:rFonts w:ascii="Arial" w:hAnsi="Arial" w:cs="Arial"/>
                <w:b/>
                <w:bCs/>
                <w:sz w:val="20"/>
                <w:szCs w:val="20"/>
              </w:rPr>
            </w:pPr>
            <w:r w:rsidRPr="00FE4697">
              <w:rPr>
                <w:rFonts w:ascii="Arial" w:hAnsi="Arial" w:cs="Arial"/>
                <w:b/>
                <w:bCs/>
                <w:sz w:val="20"/>
                <w:szCs w:val="20"/>
              </w:rPr>
              <w:t>6.</w:t>
            </w:r>
          </w:p>
        </w:tc>
        <w:tc>
          <w:tcPr>
            <w:tcW w:w="2494" w:type="dxa"/>
          </w:tcPr>
          <w:p w14:paraId="08C893D0" w14:textId="77777777" w:rsidR="000B5960" w:rsidRPr="00C34715" w:rsidRDefault="000B5960" w:rsidP="000B5960">
            <w:pPr>
              <w:rPr>
                <w:rFonts w:ascii="Arial" w:hAnsi="Arial" w:cs="Arial"/>
                <w:b/>
                <w:bCs/>
                <w:sz w:val="20"/>
                <w:szCs w:val="20"/>
              </w:rPr>
            </w:pPr>
            <w:r w:rsidRPr="00FE4697">
              <w:rPr>
                <w:rFonts w:ascii="Arial" w:hAnsi="Arial" w:cs="Arial"/>
                <w:b/>
                <w:bCs/>
                <w:sz w:val="20"/>
                <w:szCs w:val="20"/>
              </w:rPr>
              <w:t>Targeted Sectors</w:t>
            </w:r>
          </w:p>
        </w:tc>
        <w:tc>
          <w:tcPr>
            <w:tcW w:w="6417" w:type="dxa"/>
          </w:tcPr>
          <w:p w14:paraId="11DB42E5" w14:textId="77777777" w:rsidR="000B5960" w:rsidRDefault="000B5960" w:rsidP="000B5960">
            <w:pPr>
              <w:tabs>
                <w:tab w:val="left" w:pos="1605"/>
              </w:tabs>
              <w:autoSpaceDE w:val="0"/>
              <w:autoSpaceDN w:val="0"/>
              <w:adjustRightInd w:val="0"/>
              <w:rPr>
                <w:rFonts w:ascii="Arial" w:eastAsia="Times New Roman" w:hAnsi="Arial" w:cs="Arial"/>
                <w:sz w:val="20"/>
                <w:szCs w:val="20"/>
              </w:rPr>
            </w:pPr>
            <w:r w:rsidRPr="002E2899">
              <w:rPr>
                <w:rFonts w:ascii="Arial" w:eastAsia="Times New Roman" w:hAnsi="Arial" w:cs="Arial"/>
                <w:sz w:val="20"/>
                <w:szCs w:val="20"/>
              </w:rPr>
              <w:t xml:space="preserve">All </w:t>
            </w:r>
            <w:r>
              <w:rPr>
                <w:rFonts w:ascii="Arial" w:eastAsia="Times New Roman" w:hAnsi="Arial" w:cs="Arial"/>
                <w:sz w:val="20"/>
                <w:szCs w:val="20"/>
              </w:rPr>
              <w:t>areas</w:t>
            </w:r>
            <w:r w:rsidRPr="002E2899">
              <w:rPr>
                <w:rFonts w:ascii="Arial" w:eastAsia="Times New Roman" w:hAnsi="Arial" w:cs="Arial"/>
                <w:sz w:val="20"/>
                <w:szCs w:val="20"/>
              </w:rPr>
              <w:t xml:space="preserve"> </w:t>
            </w:r>
            <w:r w:rsidRPr="00C95F8C">
              <w:rPr>
                <w:rFonts w:ascii="Arial" w:eastAsia="Times New Roman" w:hAnsi="Arial" w:cs="Arial"/>
                <w:sz w:val="20"/>
                <w:szCs w:val="20"/>
              </w:rPr>
              <w:t xml:space="preserve">linked to sustainable infrastructure listed </w:t>
            </w:r>
            <w:r w:rsidRPr="002E2899">
              <w:rPr>
                <w:rFonts w:ascii="Arial" w:eastAsia="Times New Roman" w:hAnsi="Arial" w:cs="Arial"/>
                <w:sz w:val="20"/>
                <w:szCs w:val="20"/>
              </w:rPr>
              <w:t xml:space="preserve">in Annex II of the InvestEU Regulation and meeting the criteria of the Investment </w:t>
            </w:r>
            <w:r w:rsidRPr="002E2899">
              <w:rPr>
                <w:rFonts w:ascii="Arial" w:eastAsia="Times New Roman" w:hAnsi="Arial" w:cs="Arial"/>
                <w:sz w:val="20"/>
                <w:szCs w:val="20"/>
              </w:rPr>
              <w:lastRenderedPageBreak/>
              <w:t>Guidelines section 3.1</w:t>
            </w:r>
            <w:r>
              <w:rPr>
                <w:rFonts w:ascii="Arial" w:eastAsia="Times New Roman" w:hAnsi="Arial" w:cs="Arial"/>
                <w:sz w:val="20"/>
                <w:szCs w:val="20"/>
              </w:rPr>
              <w:t xml:space="preserve"> </w:t>
            </w:r>
            <w:r w:rsidRPr="002E2899">
              <w:rPr>
                <w:rFonts w:ascii="Arial" w:eastAsia="Times New Roman" w:hAnsi="Arial" w:cs="Arial"/>
                <w:sz w:val="20"/>
                <w:szCs w:val="20"/>
              </w:rPr>
              <w:t xml:space="preserve">are eligible for support. </w:t>
            </w:r>
            <w:r w:rsidRPr="00CF0CBA">
              <w:rPr>
                <w:rFonts w:ascii="Arial" w:eastAsia="Times New Roman" w:hAnsi="Arial" w:cs="Arial"/>
                <w:sz w:val="20"/>
                <w:szCs w:val="20"/>
              </w:rPr>
              <w:t xml:space="preserve">This mainly relates to </w:t>
            </w:r>
            <w:r>
              <w:rPr>
                <w:rFonts w:ascii="Arial" w:eastAsia="Times New Roman" w:hAnsi="Arial" w:cs="Arial"/>
                <w:sz w:val="20"/>
                <w:szCs w:val="20"/>
              </w:rPr>
              <w:t xml:space="preserve">Points 1, 2, 3, 4, 9, 9a; 10, 12(d), 13 and 13a. </w:t>
            </w:r>
          </w:p>
          <w:p w14:paraId="23A204BD" w14:textId="77777777" w:rsidR="000B5960" w:rsidRDefault="000B5960" w:rsidP="000B5960">
            <w:pPr>
              <w:tabs>
                <w:tab w:val="left" w:pos="1605"/>
              </w:tabs>
              <w:autoSpaceDE w:val="0"/>
              <w:autoSpaceDN w:val="0"/>
              <w:adjustRightInd w:val="0"/>
              <w:rPr>
                <w:rFonts w:ascii="Arial" w:hAnsi="Arial" w:cs="Arial"/>
                <w:sz w:val="20"/>
                <w:szCs w:val="20"/>
              </w:rPr>
            </w:pPr>
          </w:p>
          <w:p w14:paraId="199C8D52" w14:textId="77777777" w:rsidR="000B5960" w:rsidRPr="00295C83" w:rsidRDefault="000B5960" w:rsidP="000B5960">
            <w:pPr>
              <w:tabs>
                <w:tab w:val="left" w:pos="1605"/>
              </w:tabs>
              <w:autoSpaceDE w:val="0"/>
              <w:autoSpaceDN w:val="0"/>
              <w:adjustRightInd w:val="0"/>
              <w:rPr>
                <w:rFonts w:ascii="Arial" w:hAnsi="Arial" w:cs="Arial"/>
                <w:sz w:val="20"/>
                <w:szCs w:val="20"/>
              </w:rPr>
            </w:pPr>
            <w:r>
              <w:rPr>
                <w:rFonts w:ascii="Arial" w:hAnsi="Arial" w:cs="Arial"/>
                <w:sz w:val="20"/>
                <w:szCs w:val="20"/>
              </w:rPr>
              <w:t xml:space="preserve">The Implementing Partner shall propose which particular policy area(s) of the SIW it would want to target to ensure complementarity with its existing product range and additionality under InvestEU. </w:t>
            </w:r>
            <w:r>
              <w:rPr>
                <w:rFonts w:ascii="Arial" w:eastAsia="Times New Roman" w:hAnsi="Arial" w:cs="Arial"/>
                <w:sz w:val="20"/>
                <w:szCs w:val="20"/>
              </w:rPr>
              <w:t xml:space="preserve">An IP can cover one or more of the listed priority areas. </w:t>
            </w:r>
            <w:r w:rsidRPr="002E2899">
              <w:rPr>
                <w:rFonts w:ascii="Arial" w:eastAsia="Times New Roman" w:hAnsi="Arial" w:cs="Arial"/>
                <w:sz w:val="20"/>
                <w:szCs w:val="20"/>
              </w:rPr>
              <w:t>Spec</w:t>
            </w:r>
            <w:r>
              <w:rPr>
                <w:rFonts w:ascii="Arial" w:eastAsia="Times New Roman" w:hAnsi="Arial" w:cs="Arial"/>
                <w:sz w:val="20"/>
                <w:szCs w:val="20"/>
              </w:rPr>
              <w:t>ific conditions per policy priority area</w:t>
            </w:r>
            <w:r w:rsidRPr="002E2899">
              <w:rPr>
                <w:rFonts w:ascii="Arial" w:eastAsia="Times New Roman" w:hAnsi="Arial" w:cs="Arial"/>
                <w:sz w:val="20"/>
                <w:szCs w:val="20"/>
              </w:rPr>
              <w:t xml:space="preserve"> are </w:t>
            </w:r>
            <w:r>
              <w:rPr>
                <w:rFonts w:ascii="Arial" w:eastAsia="Times New Roman" w:hAnsi="Arial" w:cs="Arial"/>
                <w:sz w:val="20"/>
                <w:szCs w:val="20"/>
              </w:rPr>
              <w:t>described</w:t>
            </w:r>
            <w:r w:rsidRPr="002E2899">
              <w:rPr>
                <w:rFonts w:ascii="Arial" w:eastAsia="Times New Roman" w:hAnsi="Arial" w:cs="Arial"/>
                <w:sz w:val="20"/>
                <w:szCs w:val="20"/>
              </w:rPr>
              <w:t xml:space="preserve"> below</w:t>
            </w:r>
            <w:r>
              <w:rPr>
                <w:rFonts w:ascii="Arial" w:eastAsia="Times New Roman" w:hAnsi="Arial" w:cs="Arial"/>
                <w:sz w:val="20"/>
                <w:szCs w:val="20"/>
              </w:rPr>
              <w:t xml:space="preserve"> and are subject to further discussions with the IPs.  </w:t>
            </w:r>
          </w:p>
          <w:p w14:paraId="25E64148" w14:textId="77777777" w:rsidR="000B5960" w:rsidRPr="002E2899" w:rsidRDefault="000B5960" w:rsidP="000B5960">
            <w:pPr>
              <w:tabs>
                <w:tab w:val="left" w:pos="1605"/>
              </w:tabs>
              <w:autoSpaceDE w:val="0"/>
              <w:autoSpaceDN w:val="0"/>
              <w:adjustRightInd w:val="0"/>
              <w:rPr>
                <w:rFonts w:ascii="Arial" w:eastAsia="Times New Roman" w:hAnsi="Arial" w:cs="Arial"/>
                <w:sz w:val="20"/>
                <w:szCs w:val="20"/>
              </w:rPr>
            </w:pPr>
          </w:p>
          <w:p w14:paraId="0D632D5E" w14:textId="77777777" w:rsidR="000B5960" w:rsidRPr="005811EA" w:rsidRDefault="000B5960" w:rsidP="000B5960">
            <w:pPr>
              <w:pStyle w:val="ListParagraph"/>
              <w:numPr>
                <w:ilvl w:val="0"/>
                <w:numId w:val="22"/>
              </w:numPr>
              <w:tabs>
                <w:tab w:val="left" w:pos="1605"/>
              </w:tabs>
              <w:autoSpaceDE w:val="0"/>
              <w:autoSpaceDN w:val="0"/>
              <w:adjustRightInd w:val="0"/>
              <w:ind w:left="457"/>
              <w:rPr>
                <w:rFonts w:ascii="Arial" w:eastAsia="Times New Roman" w:hAnsi="Arial" w:cs="Arial"/>
                <w:sz w:val="20"/>
                <w:szCs w:val="20"/>
              </w:rPr>
            </w:pPr>
            <w:r>
              <w:rPr>
                <w:rFonts w:ascii="Arial" w:hAnsi="Arial" w:cs="Arial"/>
                <w:b/>
                <w:bCs/>
                <w:sz w:val="20"/>
                <w:szCs w:val="20"/>
              </w:rPr>
              <w:t>Sustainable Transport</w:t>
            </w:r>
          </w:p>
          <w:p w14:paraId="30D02A31" w14:textId="77777777" w:rsidR="000B5960" w:rsidRDefault="000B5960" w:rsidP="000B5960">
            <w:pPr>
              <w:autoSpaceDE w:val="0"/>
              <w:autoSpaceDN w:val="0"/>
              <w:adjustRightInd w:val="0"/>
              <w:rPr>
                <w:rFonts w:ascii="Arial" w:hAnsi="Arial" w:cs="Arial"/>
                <w:b/>
                <w:sz w:val="20"/>
                <w:szCs w:val="20"/>
              </w:rPr>
            </w:pPr>
          </w:p>
          <w:p w14:paraId="3CEF78BC" w14:textId="77777777" w:rsidR="000B5960" w:rsidRPr="00920DB8" w:rsidRDefault="000B5960" w:rsidP="000B5960">
            <w:pPr>
              <w:pStyle w:val="ListParagraph"/>
              <w:numPr>
                <w:ilvl w:val="1"/>
                <w:numId w:val="22"/>
              </w:numPr>
              <w:autoSpaceDE w:val="0"/>
              <w:autoSpaceDN w:val="0"/>
              <w:adjustRightInd w:val="0"/>
              <w:rPr>
                <w:rFonts w:ascii="Arial" w:hAnsi="Arial" w:cs="Arial"/>
                <w:b/>
                <w:bCs/>
                <w:sz w:val="20"/>
                <w:szCs w:val="20"/>
              </w:rPr>
            </w:pPr>
            <w:r w:rsidRPr="00920DB8">
              <w:rPr>
                <w:rFonts w:ascii="Arial" w:hAnsi="Arial" w:cs="Arial"/>
                <w:b/>
                <w:bCs/>
                <w:sz w:val="20"/>
                <w:szCs w:val="20"/>
              </w:rPr>
              <w:t xml:space="preserve">TEN-T: </w:t>
            </w:r>
          </w:p>
          <w:p w14:paraId="49F7A375" w14:textId="77777777" w:rsidR="000B5960" w:rsidRPr="002E2899" w:rsidRDefault="000B5960" w:rsidP="000B5960">
            <w:pPr>
              <w:autoSpaceDE w:val="0"/>
              <w:autoSpaceDN w:val="0"/>
              <w:adjustRightInd w:val="0"/>
              <w:ind w:left="720"/>
              <w:rPr>
                <w:rFonts w:ascii="Arial" w:hAnsi="Arial" w:cs="Arial"/>
                <w:b/>
                <w:sz w:val="20"/>
                <w:szCs w:val="20"/>
              </w:rPr>
            </w:pPr>
          </w:p>
          <w:p w14:paraId="3C468D35" w14:textId="77777777" w:rsidR="000B5960" w:rsidRDefault="000B5960" w:rsidP="000B5960">
            <w:pPr>
              <w:rPr>
                <w:rFonts w:ascii="Arial" w:hAnsi="Arial" w:cs="Arial"/>
                <w:sz w:val="20"/>
                <w:szCs w:val="20"/>
              </w:rPr>
            </w:pPr>
            <w:r>
              <w:rPr>
                <w:rFonts w:ascii="Arial" w:hAnsi="Arial" w:cs="Arial"/>
                <w:sz w:val="20"/>
                <w:szCs w:val="20"/>
              </w:rPr>
              <w:t>To support the development of the trans-European transport network (TEN-T), p</w:t>
            </w:r>
            <w:r w:rsidRPr="002E2899">
              <w:rPr>
                <w:rFonts w:ascii="Arial" w:hAnsi="Arial" w:cs="Arial"/>
                <w:sz w:val="20"/>
                <w:szCs w:val="20"/>
              </w:rPr>
              <w:t>articular prioritisation shall be put on projects that contribute to the objectives set out above</w:t>
            </w:r>
            <w:r>
              <w:rPr>
                <w:rFonts w:ascii="Arial" w:hAnsi="Arial" w:cs="Arial"/>
                <w:sz w:val="20"/>
                <w:szCs w:val="20"/>
              </w:rPr>
              <w:t>.</w:t>
            </w:r>
            <w:r w:rsidRPr="002E2899">
              <w:rPr>
                <w:rFonts w:ascii="Arial" w:hAnsi="Arial" w:cs="Arial"/>
                <w:sz w:val="20"/>
                <w:szCs w:val="20"/>
              </w:rPr>
              <w:t xml:space="preserve"> This shall in particular include, in the area of </w:t>
            </w:r>
            <w:r w:rsidRPr="00FE4697">
              <w:rPr>
                <w:rFonts w:ascii="Arial" w:hAnsi="Arial" w:cs="Arial"/>
                <w:b/>
                <w:bCs/>
                <w:sz w:val="20"/>
                <w:szCs w:val="20"/>
              </w:rPr>
              <w:t>“Connecting infrastructure – TEN-T</w:t>
            </w:r>
            <w:r w:rsidRPr="002E2899">
              <w:rPr>
                <w:rFonts w:ascii="Arial" w:hAnsi="Arial" w:cs="Arial"/>
                <w:sz w:val="20"/>
                <w:szCs w:val="20"/>
              </w:rPr>
              <w:t>”, projects and corporate financing:</w:t>
            </w:r>
          </w:p>
          <w:p w14:paraId="79A3EB97" w14:textId="77777777" w:rsidR="000B5960" w:rsidRPr="002E2899" w:rsidRDefault="000B5960" w:rsidP="000B5960">
            <w:pPr>
              <w:ind w:left="720"/>
              <w:rPr>
                <w:rFonts w:ascii="Arial" w:hAnsi="Arial" w:cs="Arial"/>
                <w:sz w:val="20"/>
                <w:szCs w:val="20"/>
              </w:rPr>
            </w:pPr>
          </w:p>
          <w:p w14:paraId="2091E8AF" w14:textId="77777777" w:rsidR="000B5960" w:rsidRPr="002E2899" w:rsidRDefault="000B5960" w:rsidP="000B5960">
            <w:pPr>
              <w:pStyle w:val="ListParagraph"/>
              <w:numPr>
                <w:ilvl w:val="0"/>
                <w:numId w:val="4"/>
              </w:numPr>
              <w:ind w:left="1440"/>
              <w:rPr>
                <w:rFonts w:ascii="Arial" w:hAnsi="Arial" w:cs="Arial"/>
                <w:sz w:val="20"/>
                <w:szCs w:val="20"/>
              </w:rPr>
            </w:pPr>
            <w:r w:rsidRPr="002E2899">
              <w:rPr>
                <w:rFonts w:ascii="Arial" w:hAnsi="Arial" w:cs="Arial"/>
                <w:sz w:val="20"/>
                <w:szCs w:val="20"/>
              </w:rPr>
              <w:t>implementing the core and comprehensive network in accordance with Chapter</w:t>
            </w:r>
            <w:r>
              <w:rPr>
                <w:rFonts w:ascii="Arial" w:hAnsi="Arial" w:cs="Arial"/>
                <w:sz w:val="20"/>
                <w:szCs w:val="20"/>
              </w:rPr>
              <w:t>s</w:t>
            </w:r>
            <w:r w:rsidRPr="002E2899">
              <w:rPr>
                <w:rFonts w:ascii="Arial" w:hAnsi="Arial" w:cs="Arial"/>
                <w:sz w:val="20"/>
                <w:szCs w:val="20"/>
              </w:rPr>
              <w:t xml:space="preserve"> II and III of the TEN-T  Regulation, including relating to urban nodes, maritime ports, inland ports and rail-road terminals of the core network as defined at Annex II to the TEN-T  Regulation</w:t>
            </w:r>
            <w:r>
              <w:rPr>
                <w:rStyle w:val="FootnoteReference"/>
                <w:rFonts w:ascii="Arial" w:hAnsi="Arial" w:cs="Arial"/>
                <w:sz w:val="20"/>
                <w:szCs w:val="20"/>
              </w:rPr>
              <w:footnoteReference w:id="2"/>
            </w:r>
            <w:r w:rsidRPr="002E2899">
              <w:rPr>
                <w:rFonts w:ascii="Arial" w:hAnsi="Arial" w:cs="Arial"/>
                <w:sz w:val="20"/>
                <w:szCs w:val="20"/>
              </w:rPr>
              <w:t>;</w:t>
            </w:r>
          </w:p>
          <w:p w14:paraId="1898398C" w14:textId="77777777" w:rsidR="000B5960" w:rsidRPr="002E2899" w:rsidRDefault="000B5960" w:rsidP="000B5960">
            <w:pPr>
              <w:pStyle w:val="ListParagraph"/>
              <w:numPr>
                <w:ilvl w:val="0"/>
                <w:numId w:val="4"/>
              </w:numPr>
              <w:ind w:left="1440"/>
              <w:rPr>
                <w:rFonts w:ascii="Arial" w:hAnsi="Arial" w:cs="Arial"/>
                <w:sz w:val="20"/>
                <w:szCs w:val="20"/>
              </w:rPr>
            </w:pPr>
            <w:r w:rsidRPr="002E2899">
              <w:rPr>
                <w:rFonts w:ascii="Arial" w:hAnsi="Arial" w:cs="Arial"/>
                <w:sz w:val="20"/>
                <w:szCs w:val="20"/>
              </w:rPr>
              <w:t xml:space="preserve">implementing cross-border links of the comprehensive network in accordance with Chapter II of the TEN-T  Regulation; </w:t>
            </w:r>
          </w:p>
          <w:p w14:paraId="22E47DA3" w14:textId="77777777" w:rsidR="000B5960" w:rsidRPr="002E2899" w:rsidRDefault="000B5960" w:rsidP="000B5960">
            <w:pPr>
              <w:pStyle w:val="ListParagraph"/>
              <w:numPr>
                <w:ilvl w:val="0"/>
                <w:numId w:val="4"/>
              </w:numPr>
              <w:ind w:left="1440"/>
              <w:rPr>
                <w:rFonts w:ascii="Arial" w:hAnsi="Arial" w:cs="Arial"/>
                <w:sz w:val="20"/>
                <w:szCs w:val="20"/>
              </w:rPr>
            </w:pPr>
            <w:r w:rsidRPr="002E2899">
              <w:rPr>
                <w:rFonts w:ascii="Arial" w:hAnsi="Arial" w:cs="Arial"/>
                <w:sz w:val="20"/>
                <w:szCs w:val="20"/>
              </w:rPr>
              <w:t xml:space="preserve">implementing sections of the comprehensive network located in outermost regions in accordance with Chapter II of the TEN-T  Regulation, including relating to the relevant urban nodes, maritime ports, inland ports and rail-road terminals of the comprehensive network as defined at Annex II to the TEN-T  Regulation; </w:t>
            </w:r>
          </w:p>
          <w:p w14:paraId="32B49E86" w14:textId="77777777" w:rsidR="000B5960" w:rsidRPr="002E2899" w:rsidRDefault="000B5960" w:rsidP="000B5960">
            <w:pPr>
              <w:pStyle w:val="ListParagraph"/>
              <w:numPr>
                <w:ilvl w:val="0"/>
                <w:numId w:val="4"/>
              </w:numPr>
              <w:ind w:left="1440"/>
              <w:rPr>
                <w:rFonts w:ascii="Arial" w:hAnsi="Arial" w:cs="Arial"/>
                <w:sz w:val="20"/>
                <w:szCs w:val="20"/>
              </w:rPr>
            </w:pPr>
            <w:r w:rsidRPr="002E2899">
              <w:rPr>
                <w:rFonts w:ascii="Arial" w:hAnsi="Arial" w:cs="Arial"/>
                <w:sz w:val="20"/>
                <w:szCs w:val="20"/>
              </w:rPr>
              <w:t>supporting projects of common interest in order to connect the trans-European network with infrastructure networks of neighbouring countries as defined in Articl</w:t>
            </w:r>
            <w:r>
              <w:rPr>
                <w:rFonts w:ascii="Arial" w:hAnsi="Arial" w:cs="Arial"/>
                <w:sz w:val="20"/>
                <w:szCs w:val="20"/>
              </w:rPr>
              <w:t>e 8(1) of the TEN-T  Regulation.</w:t>
            </w:r>
          </w:p>
          <w:p w14:paraId="56323905" w14:textId="77777777" w:rsidR="000B5960" w:rsidRDefault="000B5960" w:rsidP="000B5960">
            <w:pPr>
              <w:ind w:left="720"/>
              <w:rPr>
                <w:rFonts w:ascii="Arial" w:hAnsi="Arial" w:cs="Arial"/>
                <w:sz w:val="20"/>
                <w:szCs w:val="20"/>
              </w:rPr>
            </w:pPr>
          </w:p>
          <w:p w14:paraId="5FC25373" w14:textId="77777777" w:rsidR="000B5960" w:rsidRDefault="000B5960" w:rsidP="000B5960">
            <w:pPr>
              <w:tabs>
                <w:tab w:val="left" w:pos="1605"/>
              </w:tabs>
              <w:autoSpaceDE w:val="0"/>
              <w:autoSpaceDN w:val="0"/>
              <w:adjustRightInd w:val="0"/>
              <w:rPr>
                <w:rFonts w:ascii="Arial" w:hAnsi="Arial" w:cs="Arial"/>
                <w:sz w:val="20"/>
                <w:szCs w:val="20"/>
              </w:rPr>
            </w:pPr>
            <w:r w:rsidRPr="002E2899">
              <w:rPr>
                <w:rFonts w:ascii="Arial" w:hAnsi="Arial" w:cs="Arial"/>
                <w:sz w:val="20"/>
                <w:szCs w:val="20"/>
              </w:rPr>
              <w:t>Support in the area of “Connecting infrastructure</w:t>
            </w:r>
            <w:r>
              <w:rPr>
                <w:rFonts w:ascii="Arial" w:hAnsi="Arial" w:cs="Arial"/>
                <w:sz w:val="20"/>
                <w:szCs w:val="20"/>
              </w:rPr>
              <w:t xml:space="preserve"> – TEN-T</w:t>
            </w:r>
            <w:r w:rsidRPr="002E2899">
              <w:rPr>
                <w:rFonts w:ascii="Arial" w:hAnsi="Arial" w:cs="Arial"/>
                <w:sz w:val="20"/>
                <w:szCs w:val="20"/>
              </w:rPr>
              <w:t>” shall, in priority, target projects in the TEN-T core network, identified in the core network corridor Work Plans that address missing links, bottlenecks or cross-border connections.</w:t>
            </w:r>
          </w:p>
          <w:p w14:paraId="3D084C6D" w14:textId="77777777" w:rsidR="000B5960" w:rsidRPr="002E2899" w:rsidRDefault="000B5960" w:rsidP="000B5960">
            <w:pPr>
              <w:tabs>
                <w:tab w:val="left" w:pos="1605"/>
              </w:tabs>
              <w:autoSpaceDE w:val="0"/>
              <w:autoSpaceDN w:val="0"/>
              <w:adjustRightInd w:val="0"/>
              <w:rPr>
                <w:rFonts w:ascii="Arial" w:eastAsia="Times New Roman" w:hAnsi="Arial" w:cs="Arial"/>
                <w:sz w:val="20"/>
                <w:szCs w:val="20"/>
              </w:rPr>
            </w:pPr>
          </w:p>
          <w:p w14:paraId="0268CFC9" w14:textId="77777777" w:rsidR="000B5960" w:rsidRPr="00920DB8" w:rsidRDefault="000B5960" w:rsidP="000B5960">
            <w:pPr>
              <w:pStyle w:val="ListParagraph"/>
              <w:numPr>
                <w:ilvl w:val="1"/>
                <w:numId w:val="22"/>
              </w:numPr>
              <w:autoSpaceDE w:val="0"/>
              <w:autoSpaceDN w:val="0"/>
              <w:adjustRightInd w:val="0"/>
              <w:rPr>
                <w:rFonts w:ascii="Arial" w:hAnsi="Arial" w:cs="Arial"/>
                <w:b/>
                <w:bCs/>
                <w:sz w:val="20"/>
                <w:szCs w:val="20"/>
              </w:rPr>
            </w:pPr>
            <w:bookmarkStart w:id="1" w:name="_Ref19005851"/>
            <w:bookmarkStart w:id="2" w:name="_Toc19164220"/>
            <w:r>
              <w:rPr>
                <w:rFonts w:ascii="Arial" w:hAnsi="Arial" w:cs="Arial"/>
                <w:b/>
                <w:bCs/>
                <w:sz w:val="20"/>
                <w:szCs w:val="20"/>
              </w:rPr>
              <w:t xml:space="preserve"> </w:t>
            </w:r>
            <w:r w:rsidRPr="00920DB8">
              <w:rPr>
                <w:rFonts w:ascii="Arial" w:hAnsi="Arial" w:cs="Arial"/>
                <w:b/>
                <w:bCs/>
                <w:sz w:val="20"/>
                <w:szCs w:val="20"/>
              </w:rPr>
              <w:t>Cleaner, Safe and Smart Mobility</w:t>
            </w:r>
            <w:bookmarkEnd w:id="1"/>
            <w:bookmarkEnd w:id="2"/>
          </w:p>
          <w:p w14:paraId="09F811DD" w14:textId="77777777" w:rsidR="000B5960" w:rsidRDefault="000B5960" w:rsidP="000B5960">
            <w:pPr>
              <w:rPr>
                <w:rFonts w:ascii="Arial" w:hAnsi="Arial" w:cs="Arial"/>
                <w:sz w:val="20"/>
                <w:szCs w:val="20"/>
              </w:rPr>
            </w:pPr>
          </w:p>
          <w:p w14:paraId="0CD1F57A" w14:textId="77777777" w:rsidR="000B5960" w:rsidRDefault="000B5960" w:rsidP="000B5960">
            <w:pPr>
              <w:rPr>
                <w:rFonts w:ascii="Arial" w:hAnsi="Arial" w:cs="Arial"/>
                <w:sz w:val="20"/>
                <w:szCs w:val="20"/>
              </w:rPr>
            </w:pPr>
            <w:r w:rsidRPr="002E2899">
              <w:rPr>
                <w:rFonts w:ascii="Arial" w:hAnsi="Arial" w:cs="Arial"/>
                <w:sz w:val="20"/>
                <w:szCs w:val="20"/>
              </w:rPr>
              <w:t>The area of “Cleaner, Safe and Smart Mobility” will notably cover projects</w:t>
            </w:r>
            <w:r>
              <w:rPr>
                <w:rFonts w:ascii="Arial" w:hAnsi="Arial" w:cs="Arial"/>
                <w:sz w:val="20"/>
                <w:szCs w:val="20"/>
              </w:rPr>
              <w:t>:</w:t>
            </w:r>
          </w:p>
          <w:p w14:paraId="6DC2F78A" w14:textId="77777777" w:rsidR="000B5960" w:rsidRPr="002E2899" w:rsidRDefault="000B5960" w:rsidP="000B5960">
            <w:pPr>
              <w:ind w:left="720"/>
              <w:rPr>
                <w:rFonts w:ascii="Arial" w:hAnsi="Arial" w:cs="Arial"/>
                <w:sz w:val="20"/>
                <w:szCs w:val="20"/>
              </w:rPr>
            </w:pPr>
            <w:r w:rsidRPr="002E2899">
              <w:rPr>
                <w:rFonts w:ascii="Arial" w:hAnsi="Arial" w:cs="Arial"/>
                <w:sz w:val="20"/>
                <w:szCs w:val="20"/>
              </w:rPr>
              <w:t xml:space="preserve"> </w:t>
            </w:r>
          </w:p>
          <w:p w14:paraId="6B9F5CD9" w14:textId="77777777" w:rsidR="000B5960" w:rsidRPr="007A4C23" w:rsidRDefault="000B5960" w:rsidP="000B5960">
            <w:pPr>
              <w:pStyle w:val="ListParagraph"/>
              <w:numPr>
                <w:ilvl w:val="0"/>
                <w:numId w:val="5"/>
              </w:numPr>
              <w:ind w:left="1440"/>
              <w:rPr>
                <w:rFonts w:ascii="Arial" w:hAnsi="Arial" w:cs="Arial"/>
                <w:sz w:val="20"/>
                <w:szCs w:val="20"/>
              </w:rPr>
            </w:pPr>
            <w:r w:rsidRPr="007A4C23">
              <w:rPr>
                <w:rFonts w:ascii="Arial" w:hAnsi="Arial" w:cs="Arial"/>
                <w:sz w:val="20"/>
                <w:szCs w:val="20"/>
              </w:rPr>
              <w:t>supporting motorways of the sea as provided for in Article 21 of the TEN-T  Regulation;</w:t>
            </w:r>
          </w:p>
          <w:p w14:paraId="5BB9E38C" w14:textId="77777777" w:rsidR="000B5960" w:rsidRPr="007A4C23" w:rsidRDefault="000B5960" w:rsidP="000B5960">
            <w:pPr>
              <w:pStyle w:val="ListParagraph"/>
              <w:numPr>
                <w:ilvl w:val="0"/>
                <w:numId w:val="5"/>
              </w:numPr>
              <w:ind w:left="1440"/>
              <w:rPr>
                <w:rFonts w:ascii="Arial" w:hAnsi="Arial" w:cs="Arial"/>
                <w:sz w:val="20"/>
                <w:szCs w:val="20"/>
              </w:rPr>
            </w:pPr>
            <w:r w:rsidRPr="007A4C23">
              <w:rPr>
                <w:rFonts w:ascii="Arial" w:hAnsi="Arial" w:cs="Arial"/>
                <w:sz w:val="20"/>
                <w:szCs w:val="20"/>
              </w:rPr>
              <w:t>supporting urban nodes, in accordance with Article 30 of the TEN-T  Regulation;</w:t>
            </w:r>
          </w:p>
          <w:p w14:paraId="055B4F4D" w14:textId="77777777" w:rsidR="000B5960" w:rsidRPr="007A4C23" w:rsidRDefault="000B5960" w:rsidP="000B5960">
            <w:pPr>
              <w:pStyle w:val="ListParagraph"/>
              <w:numPr>
                <w:ilvl w:val="0"/>
                <w:numId w:val="5"/>
              </w:numPr>
              <w:ind w:left="1440"/>
              <w:rPr>
                <w:rFonts w:ascii="Arial" w:hAnsi="Arial" w:cs="Arial"/>
                <w:sz w:val="20"/>
                <w:szCs w:val="20"/>
              </w:rPr>
            </w:pPr>
            <w:r w:rsidRPr="007A4C23">
              <w:rPr>
                <w:rFonts w:ascii="Arial" w:hAnsi="Arial" w:cs="Arial"/>
                <w:sz w:val="20"/>
                <w:szCs w:val="20"/>
              </w:rPr>
              <w:t>supporting telematic applications systems, including for safety purposes, in accordance with Article 31 of the TEN-T  Regulation;</w:t>
            </w:r>
          </w:p>
          <w:p w14:paraId="1AFDDD7E" w14:textId="77777777" w:rsidR="000B5960" w:rsidRPr="007A4C23" w:rsidRDefault="000B5960" w:rsidP="000B5960">
            <w:pPr>
              <w:pStyle w:val="ListParagraph"/>
              <w:numPr>
                <w:ilvl w:val="0"/>
                <w:numId w:val="5"/>
              </w:numPr>
              <w:ind w:left="1440"/>
              <w:rPr>
                <w:rFonts w:ascii="Arial" w:hAnsi="Arial" w:cs="Arial"/>
                <w:sz w:val="20"/>
                <w:szCs w:val="20"/>
              </w:rPr>
            </w:pPr>
            <w:r w:rsidRPr="007A4C23">
              <w:rPr>
                <w:rFonts w:ascii="Arial" w:hAnsi="Arial" w:cs="Arial"/>
                <w:sz w:val="20"/>
                <w:szCs w:val="20"/>
              </w:rPr>
              <w:lastRenderedPageBreak/>
              <w:t>supporting freight transport services in accordance with Article 32 of the TEN-T Regulation;</w:t>
            </w:r>
          </w:p>
          <w:p w14:paraId="1826FE2C" w14:textId="77777777" w:rsidR="000B5960" w:rsidRPr="007A4C23" w:rsidRDefault="000B5960" w:rsidP="000B5960">
            <w:pPr>
              <w:pStyle w:val="ListParagraph"/>
              <w:numPr>
                <w:ilvl w:val="0"/>
                <w:numId w:val="5"/>
              </w:numPr>
              <w:ind w:left="1440"/>
              <w:rPr>
                <w:rFonts w:ascii="Arial" w:hAnsi="Arial" w:cs="Arial"/>
                <w:sz w:val="20"/>
                <w:szCs w:val="20"/>
              </w:rPr>
            </w:pPr>
            <w:r w:rsidRPr="007A4C23">
              <w:rPr>
                <w:rFonts w:ascii="Arial" w:hAnsi="Arial" w:cs="Arial"/>
                <w:sz w:val="20"/>
                <w:szCs w:val="20"/>
              </w:rPr>
              <w:t>supporting new technologies and innovation, including automation, enhanced transport services, modal integration and alternative fuels infrastructure, in accordance with Article 33 of the TEN-T  Regulation;</w:t>
            </w:r>
          </w:p>
          <w:p w14:paraId="2AF197D5" w14:textId="77777777" w:rsidR="000B5960" w:rsidRPr="007A4C23" w:rsidRDefault="000B5960" w:rsidP="000B5960">
            <w:pPr>
              <w:pStyle w:val="ListParagraph"/>
              <w:numPr>
                <w:ilvl w:val="0"/>
                <w:numId w:val="5"/>
              </w:numPr>
              <w:ind w:left="1440"/>
              <w:rPr>
                <w:rFonts w:ascii="Arial" w:hAnsi="Arial" w:cs="Arial"/>
                <w:sz w:val="20"/>
                <w:szCs w:val="20"/>
              </w:rPr>
            </w:pPr>
            <w:r w:rsidRPr="007A4C23">
              <w:rPr>
                <w:rFonts w:ascii="Arial" w:hAnsi="Arial" w:cs="Arial"/>
                <w:sz w:val="20"/>
                <w:szCs w:val="20"/>
              </w:rPr>
              <w:t xml:space="preserve">implementing safe and secure infrastructure and mobility, including road safety, in accordance with Article 34 of the TEN-T  Regulation; </w:t>
            </w:r>
          </w:p>
          <w:p w14:paraId="115A828D" w14:textId="77777777" w:rsidR="000B5960" w:rsidRPr="007A4C23" w:rsidRDefault="000B5960" w:rsidP="000B5960">
            <w:pPr>
              <w:pStyle w:val="ListParagraph"/>
              <w:numPr>
                <w:ilvl w:val="0"/>
                <w:numId w:val="5"/>
              </w:numPr>
              <w:ind w:left="1440"/>
              <w:rPr>
                <w:rFonts w:ascii="Arial" w:hAnsi="Arial" w:cs="Arial"/>
                <w:sz w:val="20"/>
                <w:szCs w:val="20"/>
              </w:rPr>
            </w:pPr>
            <w:r w:rsidRPr="007A4C23">
              <w:rPr>
                <w:rFonts w:ascii="Arial" w:hAnsi="Arial" w:cs="Arial"/>
                <w:sz w:val="20"/>
                <w:szCs w:val="20"/>
              </w:rPr>
              <w:t>improving transport infrastructure accessibility for all users in accordance with Article 37 of the TEN-T  Regulation</w:t>
            </w:r>
            <w:r>
              <w:rPr>
                <w:rFonts w:ascii="Arial" w:hAnsi="Arial" w:cs="Arial"/>
                <w:sz w:val="20"/>
                <w:szCs w:val="20"/>
              </w:rPr>
              <w:t>;</w:t>
            </w:r>
          </w:p>
          <w:p w14:paraId="584F093A" w14:textId="77777777" w:rsidR="000B5960" w:rsidRPr="002E2899" w:rsidRDefault="000B5960" w:rsidP="000B5960">
            <w:pPr>
              <w:pStyle w:val="ListParagraph"/>
              <w:numPr>
                <w:ilvl w:val="0"/>
                <w:numId w:val="5"/>
              </w:numPr>
              <w:ind w:left="1440"/>
              <w:rPr>
                <w:rFonts w:ascii="Arial" w:hAnsi="Arial" w:cs="Arial"/>
                <w:sz w:val="20"/>
                <w:szCs w:val="20"/>
              </w:rPr>
            </w:pPr>
            <w:r w:rsidRPr="002E2899">
              <w:rPr>
                <w:rFonts w:ascii="Arial" w:hAnsi="Arial" w:cs="Arial"/>
                <w:sz w:val="20"/>
                <w:szCs w:val="20"/>
              </w:rPr>
              <w:t>heavy mass-transit infrastructure, rail rolling stock, bus, trucks and light vehicles and vessels fleets and related infrastructures;</w:t>
            </w:r>
          </w:p>
          <w:p w14:paraId="6B21E423" w14:textId="77777777" w:rsidR="000B5960" w:rsidRPr="002E2899" w:rsidRDefault="000B5960" w:rsidP="000B5960">
            <w:pPr>
              <w:pStyle w:val="ListParagraph"/>
              <w:numPr>
                <w:ilvl w:val="0"/>
                <w:numId w:val="5"/>
              </w:numPr>
              <w:ind w:left="1440"/>
              <w:rPr>
                <w:rFonts w:ascii="Arial" w:hAnsi="Arial" w:cs="Arial"/>
                <w:sz w:val="20"/>
                <w:szCs w:val="20"/>
              </w:rPr>
            </w:pPr>
            <w:r w:rsidRPr="002E2899">
              <w:rPr>
                <w:rFonts w:ascii="Arial" w:hAnsi="Arial" w:cs="Arial"/>
                <w:sz w:val="20"/>
                <w:szCs w:val="20"/>
              </w:rPr>
              <w:t>other smart and sustainable urban mobility projects, including shared mobility and mobility as a service;</w:t>
            </w:r>
          </w:p>
          <w:p w14:paraId="0E3A0C67" w14:textId="77777777" w:rsidR="000B5960" w:rsidRPr="002E2899" w:rsidRDefault="000B5960" w:rsidP="000B5960">
            <w:pPr>
              <w:pStyle w:val="ListParagraph"/>
              <w:numPr>
                <w:ilvl w:val="0"/>
                <w:numId w:val="5"/>
              </w:numPr>
              <w:ind w:left="1440"/>
              <w:rPr>
                <w:rFonts w:ascii="Arial" w:hAnsi="Arial" w:cs="Arial"/>
                <w:sz w:val="20"/>
                <w:szCs w:val="20"/>
              </w:rPr>
            </w:pPr>
            <w:r w:rsidRPr="002E2899">
              <w:rPr>
                <w:rFonts w:ascii="Arial" w:hAnsi="Arial" w:cs="Arial"/>
                <w:sz w:val="20"/>
                <w:szCs w:val="20"/>
              </w:rPr>
              <w:t>deployment of alternative fuels in transport; and</w:t>
            </w:r>
          </w:p>
          <w:p w14:paraId="63FA7E4B" w14:textId="77777777" w:rsidR="000B5960" w:rsidRPr="00AA629F" w:rsidRDefault="000B5960" w:rsidP="000B5960">
            <w:pPr>
              <w:pStyle w:val="ListParagraph"/>
              <w:numPr>
                <w:ilvl w:val="0"/>
                <w:numId w:val="5"/>
              </w:numPr>
              <w:ind w:left="1440"/>
            </w:pPr>
            <w:r w:rsidRPr="002E2899">
              <w:rPr>
                <w:rFonts w:ascii="Arial" w:hAnsi="Arial" w:cs="Arial"/>
                <w:sz w:val="20"/>
                <w:szCs w:val="20"/>
              </w:rPr>
              <w:t xml:space="preserve">green shipping and inland navigation. </w:t>
            </w:r>
          </w:p>
          <w:p w14:paraId="1BCBE9E6" w14:textId="77777777" w:rsidR="000B5960" w:rsidRDefault="000B5960" w:rsidP="000B5960">
            <w:pPr>
              <w:ind w:left="720"/>
              <w:rPr>
                <w:rFonts w:ascii="Arial" w:hAnsi="Arial" w:cs="Arial"/>
                <w:sz w:val="20"/>
                <w:szCs w:val="20"/>
              </w:rPr>
            </w:pPr>
          </w:p>
          <w:p w14:paraId="78D8F08C" w14:textId="77777777" w:rsidR="000B5960" w:rsidRPr="002E2899" w:rsidRDefault="000B5960" w:rsidP="000B5960">
            <w:pPr>
              <w:rPr>
                <w:rFonts w:ascii="Arial" w:hAnsi="Arial" w:cs="Arial"/>
                <w:sz w:val="20"/>
                <w:szCs w:val="20"/>
              </w:rPr>
            </w:pPr>
            <w:r w:rsidRPr="002E2899">
              <w:rPr>
                <w:rFonts w:ascii="Arial" w:hAnsi="Arial" w:cs="Arial"/>
                <w:sz w:val="20"/>
                <w:szCs w:val="20"/>
              </w:rPr>
              <w:t>In particular, the project</w:t>
            </w:r>
            <w:r>
              <w:rPr>
                <w:rFonts w:ascii="Arial" w:hAnsi="Arial" w:cs="Arial"/>
                <w:sz w:val="20"/>
                <w:szCs w:val="20"/>
              </w:rPr>
              <w:t>s</w:t>
            </w:r>
            <w:r w:rsidRPr="002E2899">
              <w:rPr>
                <w:rFonts w:ascii="Arial" w:hAnsi="Arial" w:cs="Arial"/>
                <w:sz w:val="20"/>
                <w:szCs w:val="20"/>
              </w:rPr>
              <w:t xml:space="preserve"> within this area </w:t>
            </w:r>
            <w:r>
              <w:rPr>
                <w:rFonts w:ascii="Arial" w:hAnsi="Arial" w:cs="Arial"/>
                <w:sz w:val="20"/>
                <w:szCs w:val="20"/>
              </w:rPr>
              <w:t>should</w:t>
            </w:r>
            <w:r w:rsidRPr="002E2899">
              <w:rPr>
                <w:rFonts w:ascii="Arial" w:hAnsi="Arial" w:cs="Arial"/>
                <w:sz w:val="20"/>
                <w:szCs w:val="20"/>
              </w:rPr>
              <w:t xml:space="preserve"> support the deployment of innovative technologies in the transport sector utilising renewable energy, whereby “innovative” has the meaning in accordance with Article 33 of the TEN-T Regulation; involving mobile assets powered by electricity or by hydrogen, and the related supporting infrastructure.</w:t>
            </w:r>
          </w:p>
          <w:p w14:paraId="35911C74" w14:textId="77777777" w:rsidR="000B5960" w:rsidRDefault="000B5960" w:rsidP="000B5960">
            <w:pPr>
              <w:ind w:left="720"/>
              <w:rPr>
                <w:rFonts w:ascii="Arial" w:hAnsi="Arial" w:cs="Arial"/>
                <w:sz w:val="20"/>
                <w:szCs w:val="20"/>
              </w:rPr>
            </w:pPr>
          </w:p>
          <w:p w14:paraId="1AFD4FB5" w14:textId="77777777" w:rsidR="000B5960" w:rsidRPr="002E2899" w:rsidRDefault="000B5960" w:rsidP="000B5960">
            <w:pPr>
              <w:rPr>
                <w:rFonts w:ascii="Arial" w:hAnsi="Arial" w:cs="Arial"/>
                <w:sz w:val="20"/>
                <w:szCs w:val="20"/>
              </w:rPr>
            </w:pPr>
            <w:r w:rsidRPr="002E2899">
              <w:rPr>
                <w:rFonts w:ascii="Arial" w:hAnsi="Arial" w:cs="Arial"/>
                <w:sz w:val="20"/>
                <w:szCs w:val="20"/>
              </w:rPr>
              <w:t>Such projects can also support enterprises operating with leasing/renting contracts, renting and leasing for individuals and/or for the replacement of corporate transport fleets and related equipment in all transport modes.</w:t>
            </w:r>
          </w:p>
          <w:p w14:paraId="02E783C3" w14:textId="77777777" w:rsidR="000B5960" w:rsidRDefault="000B5960" w:rsidP="000B5960">
            <w:pPr>
              <w:ind w:left="720"/>
              <w:rPr>
                <w:rFonts w:ascii="Arial" w:hAnsi="Arial" w:cs="Arial"/>
                <w:sz w:val="20"/>
                <w:szCs w:val="20"/>
              </w:rPr>
            </w:pPr>
          </w:p>
          <w:p w14:paraId="06B67B61" w14:textId="77777777" w:rsidR="000B5960" w:rsidRDefault="000B5960" w:rsidP="000B5960">
            <w:pPr>
              <w:rPr>
                <w:rFonts w:ascii="Arial" w:hAnsi="Arial" w:cs="Arial"/>
                <w:sz w:val="20"/>
                <w:szCs w:val="20"/>
              </w:rPr>
            </w:pPr>
            <w:r w:rsidRPr="002E2899">
              <w:rPr>
                <w:rFonts w:ascii="Arial" w:hAnsi="Arial" w:cs="Arial"/>
                <w:sz w:val="20"/>
                <w:szCs w:val="20"/>
              </w:rPr>
              <w:t>Traffic management systems will cover inter-alia projects for the deployment of the ITS, RIS, ERTMS, SESAR systems, in line with Article 31 of the TEN-T Regulation, other digital transport infrastructure and other smart and sustainable mobility projects.</w:t>
            </w:r>
          </w:p>
          <w:p w14:paraId="21A7D9D0" w14:textId="77777777" w:rsidR="000B5960" w:rsidRPr="00AE6A54" w:rsidRDefault="000B5960" w:rsidP="000B5960">
            <w:pPr>
              <w:rPr>
                <w:rFonts w:ascii="Arial" w:hAnsi="Arial" w:cs="Arial"/>
                <w:b/>
                <w:sz w:val="20"/>
                <w:szCs w:val="20"/>
              </w:rPr>
            </w:pPr>
          </w:p>
          <w:p w14:paraId="3F5BB30E" w14:textId="77777777" w:rsidR="000B5960" w:rsidRPr="00AE6A54" w:rsidRDefault="000B5960" w:rsidP="000B5960">
            <w:pPr>
              <w:rPr>
                <w:rFonts w:ascii="Arial" w:hAnsi="Arial" w:cs="Arial"/>
                <w:b/>
                <w:sz w:val="20"/>
                <w:szCs w:val="20"/>
              </w:rPr>
            </w:pPr>
            <w:r w:rsidRPr="00AE6A54">
              <w:rPr>
                <w:rFonts w:ascii="Arial" w:hAnsi="Arial" w:cs="Arial"/>
                <w:b/>
                <w:sz w:val="20"/>
                <w:szCs w:val="20"/>
              </w:rPr>
              <w:t>1.3 [Green vehicles and equipment]</w:t>
            </w:r>
          </w:p>
          <w:p w14:paraId="3BF0FB03" w14:textId="77777777" w:rsidR="000B5960" w:rsidRPr="00A557B3" w:rsidRDefault="000B5960" w:rsidP="000B5960">
            <w:pPr>
              <w:pStyle w:val="ListParagraph"/>
              <w:tabs>
                <w:tab w:val="left" w:pos="1605"/>
              </w:tabs>
              <w:autoSpaceDE w:val="0"/>
              <w:autoSpaceDN w:val="0"/>
              <w:adjustRightInd w:val="0"/>
              <w:ind w:left="457"/>
              <w:rPr>
                <w:rFonts w:ascii="Arial" w:hAnsi="Arial" w:cs="Arial"/>
                <w:b/>
                <w:bCs/>
                <w:sz w:val="20"/>
                <w:szCs w:val="20"/>
              </w:rPr>
            </w:pPr>
          </w:p>
          <w:p w14:paraId="26DA78DC" w14:textId="77777777" w:rsidR="000B5960" w:rsidRPr="00A557B3" w:rsidRDefault="000B5960" w:rsidP="000B5960">
            <w:pPr>
              <w:pStyle w:val="ListParagraph"/>
              <w:numPr>
                <w:ilvl w:val="0"/>
                <w:numId w:val="22"/>
              </w:numPr>
              <w:tabs>
                <w:tab w:val="left" w:pos="1605"/>
              </w:tabs>
              <w:autoSpaceDE w:val="0"/>
              <w:autoSpaceDN w:val="0"/>
              <w:adjustRightInd w:val="0"/>
              <w:ind w:left="457"/>
              <w:rPr>
                <w:rFonts w:ascii="Arial" w:hAnsi="Arial" w:cs="Arial"/>
                <w:b/>
                <w:bCs/>
                <w:sz w:val="20"/>
                <w:szCs w:val="20"/>
              </w:rPr>
            </w:pPr>
            <w:r w:rsidRPr="00A557B3">
              <w:rPr>
                <w:rFonts w:ascii="Arial" w:hAnsi="Arial" w:cs="Arial"/>
                <w:b/>
                <w:bCs/>
                <w:sz w:val="20"/>
                <w:szCs w:val="20"/>
              </w:rPr>
              <w:t xml:space="preserve"> </w:t>
            </w:r>
            <w:r w:rsidRPr="00FE4697">
              <w:rPr>
                <w:rFonts w:ascii="Arial" w:hAnsi="Arial" w:cs="Arial"/>
                <w:b/>
                <w:bCs/>
                <w:sz w:val="20"/>
                <w:szCs w:val="20"/>
              </w:rPr>
              <w:t>Clean Energy Transition</w:t>
            </w:r>
          </w:p>
          <w:p w14:paraId="265B5070" w14:textId="77777777" w:rsidR="000B5960" w:rsidRPr="005811EA" w:rsidRDefault="000B5960" w:rsidP="000B5960">
            <w:pPr>
              <w:pStyle w:val="ListParagraph"/>
              <w:tabs>
                <w:tab w:val="left" w:pos="1605"/>
              </w:tabs>
              <w:autoSpaceDE w:val="0"/>
              <w:autoSpaceDN w:val="0"/>
              <w:adjustRightInd w:val="0"/>
              <w:ind w:left="457"/>
              <w:rPr>
                <w:rFonts w:ascii="Arial" w:eastAsia="Times New Roman" w:hAnsi="Arial" w:cs="Arial"/>
                <w:sz w:val="20"/>
                <w:szCs w:val="20"/>
              </w:rPr>
            </w:pPr>
          </w:p>
          <w:p w14:paraId="18299B3A" w14:textId="77777777" w:rsidR="000B5960" w:rsidRDefault="000B5960" w:rsidP="000B5960">
            <w:pPr>
              <w:pStyle w:val="ListParagraph"/>
              <w:numPr>
                <w:ilvl w:val="1"/>
                <w:numId w:val="22"/>
              </w:numPr>
              <w:tabs>
                <w:tab w:val="left" w:pos="1605"/>
              </w:tabs>
              <w:autoSpaceDE w:val="0"/>
              <w:autoSpaceDN w:val="0"/>
              <w:adjustRightInd w:val="0"/>
              <w:rPr>
                <w:rFonts w:ascii="Arial" w:eastAsia="Times New Roman" w:hAnsi="Arial" w:cs="Arial"/>
                <w:b/>
                <w:sz w:val="20"/>
                <w:szCs w:val="20"/>
              </w:rPr>
            </w:pPr>
            <w:r w:rsidRPr="005811EA">
              <w:rPr>
                <w:rFonts w:ascii="Arial" w:eastAsia="Times New Roman" w:hAnsi="Arial" w:cs="Arial"/>
                <w:b/>
                <w:sz w:val="20"/>
                <w:szCs w:val="20"/>
              </w:rPr>
              <w:t>Decarbonized energy networks and generation</w:t>
            </w:r>
          </w:p>
          <w:p w14:paraId="0F34BEF0" w14:textId="77777777" w:rsidR="000B5960" w:rsidRPr="005811EA" w:rsidRDefault="000B5960" w:rsidP="000B5960">
            <w:pPr>
              <w:pStyle w:val="ListParagraph"/>
              <w:tabs>
                <w:tab w:val="left" w:pos="1605"/>
              </w:tabs>
              <w:autoSpaceDE w:val="0"/>
              <w:autoSpaceDN w:val="0"/>
              <w:adjustRightInd w:val="0"/>
              <w:ind w:left="1080"/>
              <w:rPr>
                <w:rFonts w:ascii="Arial" w:eastAsia="Times New Roman" w:hAnsi="Arial" w:cs="Arial"/>
                <w:b/>
                <w:sz w:val="20"/>
                <w:szCs w:val="20"/>
              </w:rPr>
            </w:pPr>
          </w:p>
          <w:p w14:paraId="758DBFDF" w14:textId="77777777" w:rsidR="000B5960" w:rsidRDefault="000B5960" w:rsidP="000B5960">
            <w:pPr>
              <w:pStyle w:val="ListParagraph"/>
              <w:numPr>
                <w:ilvl w:val="0"/>
                <w:numId w:val="30"/>
              </w:numPr>
              <w:ind w:left="499"/>
              <w:rPr>
                <w:rFonts w:ascii="Arial" w:hAnsi="Arial" w:cs="Arial"/>
                <w:b/>
                <w:sz w:val="20"/>
                <w:szCs w:val="20"/>
              </w:rPr>
            </w:pPr>
            <w:r w:rsidRPr="005811EA">
              <w:rPr>
                <w:rFonts w:ascii="Arial" w:hAnsi="Arial" w:cs="Arial"/>
                <w:b/>
                <w:sz w:val="20"/>
                <w:szCs w:val="20"/>
              </w:rPr>
              <w:t>Projects of Common Interest in the energy sector</w:t>
            </w:r>
          </w:p>
          <w:p w14:paraId="5A06C12D" w14:textId="77777777" w:rsidR="000B5960" w:rsidRDefault="000B5960" w:rsidP="000B5960">
            <w:pPr>
              <w:pStyle w:val="ListParagraph"/>
              <w:ind w:left="1440"/>
              <w:rPr>
                <w:rFonts w:ascii="Arial" w:hAnsi="Arial" w:cs="Arial"/>
                <w:b/>
                <w:sz w:val="20"/>
                <w:szCs w:val="20"/>
              </w:rPr>
            </w:pPr>
          </w:p>
          <w:p w14:paraId="502DBC3B" w14:textId="77777777" w:rsidR="000B5960" w:rsidRDefault="000B5960" w:rsidP="000B5960">
            <w:pPr>
              <w:rPr>
                <w:rFonts w:ascii="Arial" w:hAnsi="Arial" w:cs="Arial"/>
                <w:sz w:val="20"/>
                <w:szCs w:val="20"/>
              </w:rPr>
            </w:pPr>
            <w:r w:rsidRPr="001D4DDA">
              <w:rPr>
                <w:rFonts w:ascii="Arial" w:hAnsi="Arial" w:cs="Arial"/>
                <w:sz w:val="20"/>
                <w:szCs w:val="20"/>
              </w:rPr>
              <w:t xml:space="preserve">The </w:t>
            </w:r>
            <w:r w:rsidRPr="001D4DDA">
              <w:rPr>
                <w:rFonts w:ascii="Arial" w:hAnsi="Arial"/>
                <w:sz w:val="20"/>
                <w:szCs w:val="20"/>
              </w:rPr>
              <w:t xml:space="preserve">objective is to </w:t>
            </w:r>
            <w:r w:rsidRPr="00895923">
              <w:rPr>
                <w:rFonts w:ascii="Arial" w:hAnsi="Arial"/>
                <w:sz w:val="20"/>
                <w:szCs w:val="20"/>
              </w:rPr>
              <w:t>provide</w:t>
            </w:r>
            <w:r w:rsidRPr="001D4DDA">
              <w:rPr>
                <w:rFonts w:ascii="Arial" w:hAnsi="Arial"/>
                <w:sz w:val="20"/>
                <w:szCs w:val="20"/>
              </w:rPr>
              <w:t xml:space="preserve"> debt financing for projects of common interest (PCIs)</w:t>
            </w:r>
            <w:r w:rsidRPr="001D4DDA">
              <w:rPr>
                <w:rStyle w:val="FootnoteReference"/>
                <w:rFonts w:ascii="Arial" w:hAnsi="Arial"/>
                <w:sz w:val="20"/>
                <w:szCs w:val="20"/>
              </w:rPr>
              <w:footnoteReference w:id="3"/>
            </w:r>
            <w:r w:rsidRPr="001D4DDA">
              <w:rPr>
                <w:rFonts w:ascii="Arial" w:hAnsi="Arial"/>
                <w:sz w:val="20"/>
                <w:szCs w:val="20"/>
              </w:rPr>
              <w:t xml:space="preserve"> including the credit enhancement for project bonds,.</w:t>
            </w:r>
            <w:r w:rsidRPr="00895923">
              <w:rPr>
                <w:rFonts w:ascii="Arial" w:hAnsi="Arial" w:cs="Arial"/>
                <w:sz w:val="20"/>
                <w:szCs w:val="20"/>
              </w:rPr>
              <w:t xml:space="preserve"> </w:t>
            </w:r>
            <w:r w:rsidRPr="001D4DDA">
              <w:rPr>
                <w:rFonts w:ascii="Arial" w:hAnsi="Arial" w:cs="Arial"/>
                <w:sz w:val="20"/>
                <w:szCs w:val="20"/>
              </w:rPr>
              <w:t xml:space="preserve">The priority area also comprises </w:t>
            </w:r>
            <w:r w:rsidRPr="00895923">
              <w:rPr>
                <w:rFonts w:ascii="Arial" w:hAnsi="Arial" w:cs="Arial"/>
                <w:sz w:val="20"/>
                <w:szCs w:val="20"/>
              </w:rPr>
              <w:t xml:space="preserve">relevant </w:t>
            </w:r>
            <w:r w:rsidRPr="001D4DDA">
              <w:rPr>
                <w:rFonts w:ascii="Arial" w:hAnsi="Arial" w:cs="Arial"/>
                <w:sz w:val="20"/>
                <w:szCs w:val="20"/>
              </w:rPr>
              <w:t>Projects of Mutual Interest (PMI) and (PECI)</w:t>
            </w:r>
            <w:r w:rsidRPr="00895923">
              <w:rPr>
                <w:rFonts w:ascii="Arial" w:hAnsi="Arial" w:cs="Arial"/>
                <w:sz w:val="20"/>
                <w:szCs w:val="20"/>
              </w:rPr>
              <w:t xml:space="preserve"> that comply with InvestEU Regulation</w:t>
            </w:r>
          </w:p>
          <w:p w14:paraId="059AF7F5" w14:textId="77777777" w:rsidR="000B5960" w:rsidRPr="00247C5F" w:rsidRDefault="000B5960" w:rsidP="000B5960">
            <w:pPr>
              <w:rPr>
                <w:rFonts w:ascii="Arial" w:hAnsi="Arial" w:cs="Arial"/>
                <w:b/>
                <w:sz w:val="20"/>
                <w:szCs w:val="20"/>
              </w:rPr>
            </w:pPr>
          </w:p>
          <w:p w14:paraId="25272149" w14:textId="77777777" w:rsidR="000B5960" w:rsidRPr="005811EA" w:rsidRDefault="000B5960" w:rsidP="000B5960">
            <w:pPr>
              <w:pStyle w:val="ListParagraph"/>
              <w:numPr>
                <w:ilvl w:val="0"/>
                <w:numId w:val="30"/>
              </w:numPr>
              <w:ind w:left="499"/>
              <w:rPr>
                <w:rFonts w:ascii="Arial" w:hAnsi="Arial" w:cs="Arial"/>
                <w:b/>
                <w:sz w:val="20"/>
                <w:szCs w:val="20"/>
              </w:rPr>
            </w:pPr>
            <w:r w:rsidRPr="005811EA">
              <w:rPr>
                <w:rFonts w:ascii="Arial" w:hAnsi="Arial" w:cs="Arial"/>
                <w:b/>
                <w:sz w:val="20"/>
                <w:szCs w:val="20"/>
              </w:rPr>
              <w:t>Smart Grids and Digitization of the grid</w:t>
            </w:r>
          </w:p>
          <w:p w14:paraId="6934B898" w14:textId="77777777" w:rsidR="000B5960" w:rsidRPr="005811EA" w:rsidRDefault="000B5960" w:rsidP="000B5960">
            <w:pPr>
              <w:pStyle w:val="ListParagraph"/>
              <w:ind w:left="1440"/>
              <w:rPr>
                <w:rFonts w:ascii="Arial" w:hAnsi="Arial" w:cs="Arial"/>
                <w:sz w:val="20"/>
                <w:szCs w:val="20"/>
              </w:rPr>
            </w:pPr>
          </w:p>
          <w:p w14:paraId="269A9F93" w14:textId="77777777" w:rsidR="000B5960" w:rsidRDefault="000B5960" w:rsidP="000B5960">
            <w:pPr>
              <w:rPr>
                <w:rFonts w:ascii="Arial" w:hAnsi="Arial" w:cs="Arial"/>
                <w:sz w:val="20"/>
                <w:szCs w:val="20"/>
              </w:rPr>
            </w:pPr>
            <w:r w:rsidRPr="001D4DDA">
              <w:rPr>
                <w:rFonts w:ascii="Arial" w:hAnsi="Arial" w:cs="Arial"/>
                <w:sz w:val="20"/>
                <w:szCs w:val="20"/>
              </w:rPr>
              <w:t xml:space="preserve">The </w:t>
            </w:r>
            <w:r w:rsidRPr="00895923">
              <w:rPr>
                <w:rFonts w:ascii="Arial" w:hAnsi="Arial" w:cs="Arial"/>
                <w:sz w:val="20"/>
                <w:szCs w:val="20"/>
              </w:rPr>
              <w:t>focus</w:t>
            </w:r>
            <w:r w:rsidRPr="001D4DDA">
              <w:rPr>
                <w:rFonts w:ascii="Arial" w:hAnsi="Arial" w:cs="Arial"/>
                <w:sz w:val="20"/>
                <w:szCs w:val="20"/>
              </w:rPr>
              <w:t xml:space="preserve"> is building energy networks that can accommodate a situation where more than half of electricity is generated from variable sources, catalysing investments in smart grids, cross-border collaboration, networks digitalisation and modernisation, demand </w:t>
            </w:r>
            <w:r w:rsidRPr="001D4DDA">
              <w:rPr>
                <w:rFonts w:ascii="Arial" w:hAnsi="Arial" w:cs="Arial"/>
                <w:sz w:val="20"/>
                <w:szCs w:val="20"/>
              </w:rPr>
              <w:lastRenderedPageBreak/>
              <w:t xml:space="preserve">response management, control/balancing platforms, e-mobility, and energy </w:t>
            </w:r>
          </w:p>
          <w:p w14:paraId="14E883A7" w14:textId="77777777" w:rsidR="000B5960" w:rsidRDefault="000B5960" w:rsidP="000B5960">
            <w:pPr>
              <w:rPr>
                <w:rFonts w:ascii="Arial" w:hAnsi="Arial" w:cs="Arial"/>
                <w:sz w:val="20"/>
                <w:szCs w:val="20"/>
              </w:rPr>
            </w:pPr>
          </w:p>
          <w:p w14:paraId="370F4874" w14:textId="77777777" w:rsidR="000B5960" w:rsidRDefault="000B5960" w:rsidP="000B5960">
            <w:pPr>
              <w:pStyle w:val="ListParagraph"/>
              <w:numPr>
                <w:ilvl w:val="0"/>
                <w:numId w:val="30"/>
              </w:numPr>
              <w:ind w:left="502"/>
              <w:rPr>
                <w:rFonts w:ascii="Arial" w:hAnsi="Arial" w:cs="Arial"/>
                <w:b/>
                <w:sz w:val="20"/>
                <w:szCs w:val="20"/>
              </w:rPr>
            </w:pPr>
            <w:r w:rsidRPr="00AE6A54">
              <w:rPr>
                <w:rFonts w:ascii="Arial" w:hAnsi="Arial" w:cs="Arial"/>
                <w:b/>
                <w:sz w:val="20"/>
                <w:szCs w:val="20"/>
              </w:rPr>
              <w:t>Cross-border projects in the field of renewable energy</w:t>
            </w:r>
          </w:p>
          <w:p w14:paraId="605B591D" w14:textId="77777777" w:rsidR="000B5960" w:rsidRPr="00AE6A54" w:rsidRDefault="000B5960" w:rsidP="000B5960">
            <w:pPr>
              <w:pStyle w:val="ListParagraph"/>
              <w:ind w:left="502"/>
              <w:rPr>
                <w:rFonts w:ascii="Arial" w:hAnsi="Arial" w:cs="Arial"/>
                <w:b/>
                <w:sz w:val="20"/>
                <w:szCs w:val="20"/>
              </w:rPr>
            </w:pPr>
          </w:p>
          <w:p w14:paraId="2B76989C" w14:textId="77777777" w:rsidR="000B5960" w:rsidRPr="00AE6A54" w:rsidRDefault="000B5960" w:rsidP="000B5960">
            <w:pPr>
              <w:pStyle w:val="ListParagraph"/>
              <w:numPr>
                <w:ilvl w:val="0"/>
                <w:numId w:val="30"/>
              </w:numPr>
              <w:ind w:left="502"/>
              <w:rPr>
                <w:rFonts w:ascii="Arial" w:eastAsia="Times New Roman" w:hAnsi="Arial" w:cs="Arial"/>
                <w:b/>
                <w:bCs/>
                <w:sz w:val="20"/>
                <w:szCs w:val="20"/>
              </w:rPr>
            </w:pPr>
            <w:r w:rsidRPr="00AE6A54">
              <w:rPr>
                <w:rFonts w:ascii="Arial" w:hAnsi="Arial" w:cs="Arial"/>
                <w:b/>
                <w:sz w:val="20"/>
                <w:szCs w:val="20"/>
              </w:rPr>
              <w:t>Offshore wind installation</w:t>
            </w:r>
            <w:r w:rsidRPr="00AE6A54">
              <w:rPr>
                <w:rFonts w:ascii="Arial" w:hAnsi="Arial" w:cs="Arial"/>
                <w:sz w:val="20"/>
              </w:rPr>
              <w:t xml:space="preserve"> with particular emphasis in MS that despite potential, have little experience with floating platforms</w:t>
            </w:r>
          </w:p>
          <w:p w14:paraId="7FC961CC" w14:textId="77777777" w:rsidR="000B5960" w:rsidRPr="00AE6A54" w:rsidRDefault="000B5960" w:rsidP="000B5960">
            <w:pPr>
              <w:rPr>
                <w:rFonts w:ascii="Arial" w:eastAsia="Times New Roman" w:hAnsi="Arial" w:cs="Arial"/>
                <w:b/>
                <w:bCs/>
                <w:sz w:val="20"/>
                <w:szCs w:val="20"/>
              </w:rPr>
            </w:pPr>
          </w:p>
          <w:p w14:paraId="6BB9DA19" w14:textId="77777777" w:rsidR="000B5960" w:rsidRDefault="000B5960" w:rsidP="000B5960">
            <w:pPr>
              <w:pStyle w:val="ListParagraph"/>
              <w:numPr>
                <w:ilvl w:val="0"/>
                <w:numId w:val="30"/>
              </w:numPr>
              <w:ind w:left="500"/>
              <w:rPr>
                <w:rFonts w:ascii="Arial" w:hAnsi="Arial" w:cs="Arial"/>
                <w:b/>
                <w:sz w:val="20"/>
                <w:szCs w:val="20"/>
              </w:rPr>
            </w:pPr>
            <w:r w:rsidRPr="001D4DDA">
              <w:rPr>
                <w:rFonts w:ascii="Arial" w:hAnsi="Arial" w:cs="Arial"/>
                <w:b/>
                <w:sz w:val="20"/>
                <w:szCs w:val="20"/>
              </w:rPr>
              <w:t>Storage and Hybrid renewables</w:t>
            </w:r>
          </w:p>
          <w:p w14:paraId="53F0EF2F" w14:textId="77777777" w:rsidR="000B5960" w:rsidRPr="00895923" w:rsidRDefault="000B5960" w:rsidP="000B5960">
            <w:pPr>
              <w:ind w:left="281"/>
              <w:rPr>
                <w:rFonts w:ascii="Arial" w:hAnsi="Arial" w:cs="Arial"/>
                <w:b/>
                <w:sz w:val="20"/>
                <w:szCs w:val="20"/>
              </w:rPr>
            </w:pPr>
            <w:r w:rsidRPr="00895923">
              <w:rPr>
                <w:rFonts w:ascii="Arial" w:hAnsi="Arial" w:cs="Arial"/>
                <w:sz w:val="20"/>
                <w:szCs w:val="20"/>
              </w:rPr>
              <w:t>Pure storage projects would be eligible plus “hybrid” projects co</w:t>
            </w:r>
            <w:r w:rsidRPr="001D4DDA">
              <w:rPr>
                <w:rFonts w:ascii="Arial" w:hAnsi="Arial" w:cs="Arial"/>
                <w:sz w:val="20"/>
                <w:szCs w:val="20"/>
              </w:rPr>
              <w:t>mbining renewables plus storage</w:t>
            </w:r>
            <w:r w:rsidRPr="00895923">
              <w:rPr>
                <w:rFonts w:ascii="Arial" w:hAnsi="Arial" w:cs="Arial"/>
                <w:sz w:val="20"/>
                <w:szCs w:val="20"/>
              </w:rPr>
              <w:t xml:space="preserve"> (e.g. Solar generation + battery storage, or solar generation + wind generation + pumped storage, etc) or a portfolio of different RES technologies plus storage managed under a Virtual Power Plant to provide flexible generation capacit</w:t>
            </w:r>
            <w:r>
              <w:rPr>
                <w:rFonts w:ascii="Arial" w:hAnsi="Arial" w:cs="Arial"/>
                <w:sz w:val="20"/>
                <w:szCs w:val="20"/>
              </w:rPr>
              <w:t>y.</w:t>
            </w:r>
          </w:p>
          <w:p w14:paraId="5D14D2E3" w14:textId="77777777" w:rsidR="000B5960" w:rsidRPr="00E67AFB" w:rsidRDefault="000B5960" w:rsidP="000B5960">
            <w:pPr>
              <w:pStyle w:val="ListParagraph"/>
              <w:ind w:left="641"/>
              <w:rPr>
                <w:rFonts w:ascii="Arial" w:eastAsia="Times New Roman" w:hAnsi="Arial" w:cs="Arial"/>
                <w:b/>
                <w:bCs/>
                <w:sz w:val="20"/>
                <w:szCs w:val="20"/>
              </w:rPr>
            </w:pPr>
          </w:p>
          <w:p w14:paraId="02EB2F20" w14:textId="77777777" w:rsidR="000B5960" w:rsidRPr="00895923" w:rsidRDefault="000B5960" w:rsidP="000B5960">
            <w:pPr>
              <w:pStyle w:val="ListParagraph"/>
              <w:numPr>
                <w:ilvl w:val="0"/>
                <w:numId w:val="30"/>
              </w:numPr>
              <w:ind w:left="500"/>
              <w:rPr>
                <w:rFonts w:ascii="Arial" w:hAnsi="Arial" w:cs="Arial"/>
                <w:b/>
                <w:sz w:val="20"/>
                <w:szCs w:val="20"/>
              </w:rPr>
            </w:pPr>
            <w:r w:rsidRPr="00895923">
              <w:rPr>
                <w:rFonts w:ascii="Arial" w:hAnsi="Arial" w:cs="Arial"/>
                <w:b/>
                <w:sz w:val="20"/>
                <w:szCs w:val="20"/>
              </w:rPr>
              <w:t>Diversification of ports from transport nodes to hubs for assembly, installation and servicing of offshore energy</w:t>
            </w:r>
          </w:p>
          <w:p w14:paraId="137B9E3E" w14:textId="77777777" w:rsidR="000B5960" w:rsidRDefault="000B5960" w:rsidP="000B5960">
            <w:pPr>
              <w:rPr>
                <w:rFonts w:ascii="Arial" w:eastAsia="Times New Roman" w:hAnsi="Arial" w:cs="Arial"/>
                <w:sz w:val="20"/>
                <w:szCs w:val="20"/>
              </w:rPr>
            </w:pPr>
          </w:p>
          <w:p w14:paraId="08726C2C" w14:textId="77777777" w:rsidR="000B5960" w:rsidRPr="005811EA" w:rsidRDefault="000B5960" w:rsidP="000B5960">
            <w:pPr>
              <w:pStyle w:val="ListParagraph"/>
              <w:numPr>
                <w:ilvl w:val="0"/>
                <w:numId w:val="30"/>
              </w:numPr>
              <w:tabs>
                <w:tab w:val="left" w:pos="1605"/>
              </w:tabs>
              <w:autoSpaceDE w:val="0"/>
              <w:autoSpaceDN w:val="0"/>
              <w:adjustRightInd w:val="0"/>
              <w:ind w:left="499"/>
              <w:rPr>
                <w:rFonts w:ascii="Arial" w:eastAsia="Times New Roman" w:hAnsi="Arial" w:cs="Arial"/>
                <w:b/>
                <w:sz w:val="20"/>
                <w:szCs w:val="20"/>
              </w:rPr>
            </w:pPr>
            <w:r w:rsidRPr="005811EA">
              <w:rPr>
                <w:rFonts w:ascii="Arial" w:hAnsi="Arial" w:cs="Arial"/>
                <w:b/>
                <w:sz w:val="20"/>
              </w:rPr>
              <w:t>Renewables in the heating and cooling sector</w:t>
            </w:r>
          </w:p>
          <w:p w14:paraId="28AC8E94" w14:textId="77777777" w:rsidR="000B5960" w:rsidRPr="005811EA" w:rsidRDefault="000B5960" w:rsidP="000B5960">
            <w:pPr>
              <w:pStyle w:val="ListParagraph"/>
              <w:numPr>
                <w:ilvl w:val="1"/>
                <w:numId w:val="30"/>
              </w:numPr>
              <w:tabs>
                <w:tab w:val="left" w:pos="1605"/>
              </w:tabs>
              <w:autoSpaceDE w:val="0"/>
              <w:autoSpaceDN w:val="0"/>
              <w:adjustRightInd w:val="0"/>
              <w:ind w:left="925"/>
              <w:rPr>
                <w:rFonts w:ascii="Arial" w:eastAsia="Times New Roman" w:hAnsi="Arial" w:cs="Arial"/>
                <w:sz w:val="20"/>
                <w:szCs w:val="20"/>
              </w:rPr>
            </w:pPr>
            <w:r>
              <w:rPr>
                <w:rFonts w:ascii="Arial" w:hAnsi="Arial" w:cs="Arial"/>
                <w:sz w:val="20"/>
              </w:rPr>
              <w:t>Decarbonisation of heat generation in industry</w:t>
            </w:r>
          </w:p>
          <w:p w14:paraId="7EE69F40" w14:textId="77777777" w:rsidR="000B5960" w:rsidRPr="005811EA" w:rsidRDefault="000B5960" w:rsidP="000B5960">
            <w:pPr>
              <w:pStyle w:val="ListParagraph"/>
              <w:tabs>
                <w:tab w:val="left" w:pos="1605"/>
              </w:tabs>
              <w:autoSpaceDE w:val="0"/>
              <w:autoSpaceDN w:val="0"/>
              <w:adjustRightInd w:val="0"/>
              <w:ind w:left="2160"/>
              <w:rPr>
                <w:rFonts w:ascii="Arial" w:eastAsia="Times New Roman" w:hAnsi="Arial" w:cs="Arial"/>
                <w:sz w:val="20"/>
                <w:szCs w:val="20"/>
              </w:rPr>
            </w:pPr>
          </w:p>
          <w:p w14:paraId="70785222" w14:textId="77777777" w:rsidR="000B5960" w:rsidRPr="005811EA" w:rsidRDefault="000B5960" w:rsidP="000B5960">
            <w:pPr>
              <w:pStyle w:val="ListParagraph"/>
              <w:numPr>
                <w:ilvl w:val="0"/>
                <w:numId w:val="30"/>
              </w:numPr>
              <w:tabs>
                <w:tab w:val="left" w:pos="1605"/>
              </w:tabs>
              <w:autoSpaceDE w:val="0"/>
              <w:autoSpaceDN w:val="0"/>
              <w:adjustRightInd w:val="0"/>
              <w:ind w:left="499"/>
              <w:rPr>
                <w:rFonts w:ascii="Arial" w:eastAsia="Times New Roman" w:hAnsi="Arial" w:cs="Arial"/>
                <w:sz w:val="20"/>
                <w:szCs w:val="20"/>
              </w:rPr>
            </w:pPr>
            <w:r w:rsidRPr="00FE4697">
              <w:rPr>
                <w:rFonts w:ascii="Arial" w:hAnsi="Arial" w:cs="Arial"/>
                <w:b/>
                <w:bCs/>
                <w:sz w:val="20"/>
                <w:szCs w:val="20"/>
              </w:rPr>
              <w:t>Communities and Local Actors</w:t>
            </w:r>
          </w:p>
          <w:p w14:paraId="52F3D42B" w14:textId="77777777" w:rsidR="000B5960" w:rsidRPr="005811EA" w:rsidRDefault="000B5960" w:rsidP="000B5960">
            <w:pPr>
              <w:pStyle w:val="ListParagraph"/>
              <w:tabs>
                <w:tab w:val="left" w:pos="1605"/>
              </w:tabs>
              <w:autoSpaceDE w:val="0"/>
              <w:autoSpaceDN w:val="0"/>
              <w:adjustRightInd w:val="0"/>
              <w:ind w:left="499"/>
              <w:rPr>
                <w:rFonts w:ascii="Arial" w:eastAsia="Times New Roman" w:hAnsi="Arial" w:cs="Arial"/>
                <w:sz w:val="20"/>
                <w:szCs w:val="20"/>
              </w:rPr>
            </w:pPr>
          </w:p>
          <w:p w14:paraId="6F1F4C29" w14:textId="77777777" w:rsidR="000B5960" w:rsidRPr="005811EA" w:rsidRDefault="000B5960" w:rsidP="000B5960">
            <w:pPr>
              <w:pStyle w:val="ListParagraph"/>
              <w:numPr>
                <w:ilvl w:val="0"/>
                <w:numId w:val="30"/>
              </w:numPr>
              <w:tabs>
                <w:tab w:val="left" w:pos="1605"/>
              </w:tabs>
              <w:autoSpaceDE w:val="0"/>
              <w:autoSpaceDN w:val="0"/>
              <w:adjustRightInd w:val="0"/>
              <w:ind w:left="499"/>
              <w:rPr>
                <w:rFonts w:ascii="Arial" w:eastAsia="Times New Roman" w:hAnsi="Arial" w:cs="Arial"/>
                <w:sz w:val="20"/>
                <w:szCs w:val="20"/>
              </w:rPr>
            </w:pPr>
            <w:r>
              <w:rPr>
                <w:rFonts w:ascii="Arial" w:eastAsia="Times New Roman" w:hAnsi="Arial" w:cs="Arial"/>
                <w:b/>
                <w:bCs/>
                <w:sz w:val="20"/>
                <w:szCs w:val="20"/>
                <w:lang w:val="en-IE"/>
              </w:rPr>
              <w:t>“</w:t>
            </w:r>
            <w:r w:rsidRPr="00C34715">
              <w:rPr>
                <w:rFonts w:ascii="Arial" w:eastAsia="Times New Roman" w:hAnsi="Arial" w:cs="Arial"/>
                <w:b/>
                <w:bCs/>
                <w:sz w:val="20"/>
                <w:szCs w:val="20"/>
                <w:lang w:val="en-IE"/>
              </w:rPr>
              <w:t>Merchant” Renewable infrastructure</w:t>
            </w:r>
          </w:p>
          <w:p w14:paraId="1EB9B93B" w14:textId="77777777" w:rsidR="000B5960" w:rsidRDefault="000B5960" w:rsidP="000B5960">
            <w:pPr>
              <w:rPr>
                <w:rFonts w:ascii="Arial" w:hAnsi="Arial" w:cs="Arial"/>
                <w:sz w:val="20"/>
                <w:szCs w:val="20"/>
              </w:rPr>
            </w:pPr>
          </w:p>
          <w:p w14:paraId="5603DB7B" w14:textId="77777777" w:rsidR="000B5960" w:rsidRDefault="000B5960" w:rsidP="000B5960">
            <w:pPr>
              <w:pStyle w:val="ListParagraph"/>
              <w:numPr>
                <w:ilvl w:val="1"/>
                <w:numId w:val="22"/>
              </w:numPr>
              <w:tabs>
                <w:tab w:val="left" w:pos="1605"/>
              </w:tabs>
              <w:autoSpaceDE w:val="0"/>
              <w:autoSpaceDN w:val="0"/>
              <w:adjustRightInd w:val="0"/>
              <w:rPr>
                <w:rFonts w:ascii="Arial" w:eastAsia="Times New Roman" w:hAnsi="Arial" w:cs="Arial"/>
                <w:b/>
                <w:sz w:val="20"/>
                <w:szCs w:val="20"/>
              </w:rPr>
            </w:pPr>
            <w:r w:rsidRPr="005811EA">
              <w:rPr>
                <w:rFonts w:ascii="Arial" w:eastAsia="Times New Roman" w:hAnsi="Arial" w:cs="Arial"/>
                <w:b/>
                <w:sz w:val="20"/>
                <w:szCs w:val="20"/>
              </w:rPr>
              <w:t>Energy efficiency</w:t>
            </w:r>
          </w:p>
          <w:p w14:paraId="6D07EFB9" w14:textId="77777777" w:rsidR="000B5960" w:rsidRPr="005811EA" w:rsidRDefault="000B5960" w:rsidP="000B5960">
            <w:pPr>
              <w:pStyle w:val="ListParagraph"/>
              <w:tabs>
                <w:tab w:val="left" w:pos="1605"/>
              </w:tabs>
              <w:autoSpaceDE w:val="0"/>
              <w:autoSpaceDN w:val="0"/>
              <w:adjustRightInd w:val="0"/>
              <w:ind w:left="1080"/>
              <w:rPr>
                <w:rFonts w:ascii="Arial" w:eastAsia="Times New Roman" w:hAnsi="Arial" w:cs="Arial"/>
                <w:b/>
                <w:sz w:val="20"/>
                <w:szCs w:val="20"/>
              </w:rPr>
            </w:pPr>
          </w:p>
          <w:p w14:paraId="64847794" w14:textId="77777777" w:rsidR="000B5960" w:rsidRPr="005811EA" w:rsidRDefault="000B5960" w:rsidP="000B5960">
            <w:pPr>
              <w:pStyle w:val="ListParagraph"/>
              <w:numPr>
                <w:ilvl w:val="0"/>
                <w:numId w:val="30"/>
              </w:numPr>
              <w:tabs>
                <w:tab w:val="left" w:pos="1605"/>
              </w:tabs>
              <w:autoSpaceDE w:val="0"/>
              <w:autoSpaceDN w:val="0"/>
              <w:adjustRightInd w:val="0"/>
              <w:ind w:left="499"/>
              <w:rPr>
                <w:rFonts w:ascii="Arial" w:hAnsi="Arial" w:cs="Arial"/>
                <w:b/>
                <w:sz w:val="20"/>
              </w:rPr>
            </w:pPr>
            <w:r w:rsidRPr="005811EA">
              <w:rPr>
                <w:rFonts w:ascii="Arial" w:hAnsi="Arial" w:cs="Arial"/>
                <w:b/>
                <w:sz w:val="20"/>
              </w:rPr>
              <w:t>Energy Service providers for Energy Efficiency</w:t>
            </w:r>
          </w:p>
          <w:p w14:paraId="48EC4DD8" w14:textId="77777777" w:rsidR="000B5960" w:rsidRDefault="000B5960" w:rsidP="000B5960">
            <w:pPr>
              <w:tabs>
                <w:tab w:val="left" w:pos="1605"/>
              </w:tabs>
              <w:autoSpaceDE w:val="0"/>
              <w:autoSpaceDN w:val="0"/>
              <w:adjustRightInd w:val="0"/>
              <w:ind w:left="499"/>
              <w:rPr>
                <w:rFonts w:ascii="Arial" w:eastAsia="Times New Roman" w:hAnsi="Arial" w:cs="Arial"/>
                <w:sz w:val="20"/>
                <w:szCs w:val="20"/>
              </w:rPr>
            </w:pPr>
          </w:p>
          <w:p w14:paraId="2C733295" w14:textId="77777777" w:rsidR="000B5960" w:rsidRPr="005811EA" w:rsidRDefault="000B5960" w:rsidP="000B5960">
            <w:pPr>
              <w:pStyle w:val="ListParagraph"/>
              <w:numPr>
                <w:ilvl w:val="0"/>
                <w:numId w:val="30"/>
              </w:numPr>
              <w:tabs>
                <w:tab w:val="left" w:pos="1605"/>
              </w:tabs>
              <w:autoSpaceDE w:val="0"/>
              <w:autoSpaceDN w:val="0"/>
              <w:adjustRightInd w:val="0"/>
              <w:ind w:left="499"/>
              <w:rPr>
                <w:rFonts w:ascii="Arial" w:eastAsia="Times New Roman" w:hAnsi="Arial" w:cs="Arial"/>
                <w:b/>
                <w:sz w:val="20"/>
                <w:szCs w:val="20"/>
              </w:rPr>
            </w:pPr>
            <w:r w:rsidRPr="005811EA">
              <w:rPr>
                <w:rFonts w:ascii="Arial" w:eastAsia="Times New Roman" w:hAnsi="Arial" w:cs="Arial"/>
                <w:b/>
                <w:sz w:val="20"/>
                <w:szCs w:val="20"/>
              </w:rPr>
              <w:t>Industrial energy efficiency</w:t>
            </w:r>
          </w:p>
          <w:p w14:paraId="5A68532C" w14:textId="77777777" w:rsidR="000B5960" w:rsidRPr="005811EA" w:rsidRDefault="000B5960" w:rsidP="000B5960">
            <w:pPr>
              <w:pStyle w:val="ListParagraph"/>
              <w:ind w:left="499"/>
              <w:rPr>
                <w:rFonts w:ascii="Arial" w:hAnsi="Arial" w:cs="Arial"/>
                <w:b/>
                <w:bCs/>
                <w:sz w:val="20"/>
                <w:szCs w:val="20"/>
              </w:rPr>
            </w:pPr>
          </w:p>
          <w:p w14:paraId="6F4B9F0A" w14:textId="77777777" w:rsidR="000B5960" w:rsidRPr="005811EA" w:rsidRDefault="000B5960" w:rsidP="000B5960">
            <w:pPr>
              <w:pStyle w:val="ListParagraph"/>
              <w:numPr>
                <w:ilvl w:val="0"/>
                <w:numId w:val="30"/>
              </w:numPr>
              <w:tabs>
                <w:tab w:val="left" w:pos="1605"/>
              </w:tabs>
              <w:autoSpaceDE w:val="0"/>
              <w:autoSpaceDN w:val="0"/>
              <w:adjustRightInd w:val="0"/>
              <w:ind w:left="499"/>
              <w:rPr>
                <w:rFonts w:ascii="Arial" w:eastAsia="Times New Roman" w:hAnsi="Arial" w:cs="Arial"/>
                <w:sz w:val="20"/>
                <w:szCs w:val="20"/>
              </w:rPr>
            </w:pPr>
            <w:r w:rsidRPr="00FE4697">
              <w:rPr>
                <w:rFonts w:ascii="Arial" w:hAnsi="Arial" w:cs="Arial"/>
                <w:b/>
                <w:bCs/>
                <w:sz w:val="20"/>
                <w:szCs w:val="20"/>
              </w:rPr>
              <w:t>SMEs Energy Efficiency</w:t>
            </w:r>
          </w:p>
          <w:p w14:paraId="43213D97" w14:textId="77777777" w:rsidR="000B5960" w:rsidRPr="005811EA" w:rsidRDefault="000B5960" w:rsidP="000B5960">
            <w:pPr>
              <w:tabs>
                <w:tab w:val="left" w:pos="1605"/>
              </w:tabs>
              <w:autoSpaceDE w:val="0"/>
              <w:autoSpaceDN w:val="0"/>
              <w:adjustRightInd w:val="0"/>
              <w:ind w:left="499"/>
              <w:rPr>
                <w:rFonts w:ascii="Arial" w:eastAsia="Times New Roman" w:hAnsi="Arial" w:cs="Arial"/>
                <w:sz w:val="20"/>
                <w:szCs w:val="20"/>
              </w:rPr>
            </w:pPr>
          </w:p>
          <w:p w14:paraId="6D44A68A" w14:textId="77777777" w:rsidR="000B5960" w:rsidRPr="004C1100" w:rsidRDefault="000B5960" w:rsidP="000B5960">
            <w:pPr>
              <w:pStyle w:val="ListParagraph"/>
              <w:numPr>
                <w:ilvl w:val="0"/>
                <w:numId w:val="30"/>
              </w:numPr>
              <w:tabs>
                <w:tab w:val="left" w:pos="1605"/>
              </w:tabs>
              <w:autoSpaceDE w:val="0"/>
              <w:autoSpaceDN w:val="0"/>
              <w:adjustRightInd w:val="0"/>
              <w:ind w:left="499"/>
              <w:rPr>
                <w:rFonts w:ascii="Arial" w:eastAsia="Times New Roman" w:hAnsi="Arial" w:cs="Arial"/>
                <w:sz w:val="20"/>
                <w:szCs w:val="20"/>
              </w:rPr>
            </w:pPr>
            <w:r w:rsidRPr="00FE4697">
              <w:rPr>
                <w:rFonts w:ascii="Arial" w:hAnsi="Arial" w:cs="Arial"/>
                <w:b/>
                <w:bCs/>
                <w:sz w:val="20"/>
                <w:szCs w:val="20"/>
              </w:rPr>
              <w:t>Energy renovation for Households</w:t>
            </w:r>
          </w:p>
          <w:p w14:paraId="7DB5F06B" w14:textId="77777777" w:rsidR="000B5960" w:rsidRPr="004C1100" w:rsidRDefault="000B5960" w:rsidP="000B5960">
            <w:pPr>
              <w:pStyle w:val="ListParagraph"/>
              <w:rPr>
                <w:rFonts w:ascii="Arial" w:eastAsia="Times New Roman" w:hAnsi="Arial" w:cs="Arial"/>
                <w:sz w:val="20"/>
                <w:szCs w:val="20"/>
              </w:rPr>
            </w:pPr>
          </w:p>
          <w:p w14:paraId="47D5357A" w14:textId="77777777" w:rsidR="000B5960" w:rsidRDefault="000B5960" w:rsidP="000B5960">
            <w:pPr>
              <w:pStyle w:val="ListParagraph"/>
              <w:numPr>
                <w:ilvl w:val="1"/>
                <w:numId w:val="22"/>
              </w:numPr>
              <w:tabs>
                <w:tab w:val="left" w:pos="1605"/>
              </w:tabs>
              <w:autoSpaceDE w:val="0"/>
              <w:autoSpaceDN w:val="0"/>
              <w:adjustRightInd w:val="0"/>
              <w:rPr>
                <w:rFonts w:ascii="Arial" w:eastAsia="Times New Roman" w:hAnsi="Arial" w:cs="Arial"/>
                <w:b/>
                <w:sz w:val="20"/>
                <w:szCs w:val="20"/>
              </w:rPr>
            </w:pPr>
            <w:r w:rsidRPr="00895923">
              <w:rPr>
                <w:rFonts w:ascii="Arial" w:eastAsia="Times New Roman" w:hAnsi="Arial" w:cs="Arial"/>
                <w:b/>
                <w:sz w:val="20"/>
                <w:szCs w:val="20"/>
              </w:rPr>
              <w:t>Other low carbon network infrastructure</w:t>
            </w:r>
          </w:p>
          <w:p w14:paraId="597165DB" w14:textId="77777777" w:rsidR="000B5960" w:rsidRPr="00895923" w:rsidRDefault="000B5960" w:rsidP="000B5960">
            <w:pPr>
              <w:pStyle w:val="ListParagraph"/>
              <w:tabs>
                <w:tab w:val="left" w:pos="1605"/>
              </w:tabs>
              <w:autoSpaceDE w:val="0"/>
              <w:autoSpaceDN w:val="0"/>
              <w:adjustRightInd w:val="0"/>
              <w:ind w:left="1080"/>
              <w:rPr>
                <w:rFonts w:ascii="Arial" w:eastAsia="Times New Roman" w:hAnsi="Arial" w:cs="Arial"/>
                <w:b/>
                <w:sz w:val="20"/>
                <w:szCs w:val="20"/>
              </w:rPr>
            </w:pPr>
          </w:p>
          <w:p w14:paraId="6E5D68E8" w14:textId="77777777" w:rsidR="000B5960" w:rsidRPr="00895923" w:rsidRDefault="000B5960" w:rsidP="000B5960">
            <w:pPr>
              <w:pStyle w:val="ListParagraph"/>
              <w:numPr>
                <w:ilvl w:val="1"/>
                <w:numId w:val="22"/>
              </w:numPr>
              <w:tabs>
                <w:tab w:val="left" w:pos="1605"/>
              </w:tabs>
              <w:autoSpaceDE w:val="0"/>
              <w:autoSpaceDN w:val="0"/>
              <w:adjustRightInd w:val="0"/>
              <w:rPr>
                <w:rFonts w:ascii="Arial" w:eastAsia="Times New Roman" w:hAnsi="Arial" w:cs="Arial"/>
                <w:b/>
                <w:sz w:val="20"/>
                <w:szCs w:val="20"/>
              </w:rPr>
            </w:pPr>
            <w:r w:rsidRPr="00895923">
              <w:rPr>
                <w:rFonts w:ascii="Arial" w:eastAsia="Times New Roman" w:hAnsi="Arial" w:cs="Arial"/>
                <w:b/>
                <w:sz w:val="20"/>
                <w:szCs w:val="20"/>
              </w:rPr>
              <w:t>Credit enhancement for green bonds</w:t>
            </w:r>
          </w:p>
          <w:p w14:paraId="108E9122" w14:textId="77777777" w:rsidR="000B5960" w:rsidRPr="002E2899" w:rsidRDefault="000B5960" w:rsidP="000B5960">
            <w:pPr>
              <w:tabs>
                <w:tab w:val="left" w:pos="1605"/>
              </w:tabs>
              <w:autoSpaceDE w:val="0"/>
              <w:autoSpaceDN w:val="0"/>
              <w:adjustRightInd w:val="0"/>
              <w:rPr>
                <w:rFonts w:ascii="Arial" w:eastAsia="Times New Roman" w:hAnsi="Arial" w:cs="Arial"/>
                <w:sz w:val="20"/>
                <w:szCs w:val="20"/>
              </w:rPr>
            </w:pPr>
          </w:p>
          <w:p w14:paraId="48627AC6" w14:textId="77777777" w:rsidR="000B5960" w:rsidRPr="00C34715" w:rsidRDefault="000B5960" w:rsidP="000B5960">
            <w:pPr>
              <w:pStyle w:val="ListParagraph"/>
              <w:numPr>
                <w:ilvl w:val="0"/>
                <w:numId w:val="23"/>
              </w:numPr>
              <w:tabs>
                <w:tab w:val="left" w:pos="1605"/>
              </w:tabs>
              <w:autoSpaceDE w:val="0"/>
              <w:autoSpaceDN w:val="0"/>
              <w:adjustRightInd w:val="0"/>
              <w:ind w:left="316"/>
              <w:rPr>
                <w:rFonts w:ascii="Arial" w:hAnsi="Arial" w:cs="Arial"/>
                <w:b/>
                <w:bCs/>
                <w:sz w:val="20"/>
                <w:szCs w:val="20"/>
              </w:rPr>
            </w:pPr>
            <w:r w:rsidRPr="00FE4697">
              <w:rPr>
                <w:rFonts w:ascii="Arial" w:hAnsi="Arial" w:cs="Arial"/>
                <w:b/>
                <w:bCs/>
                <w:sz w:val="20"/>
                <w:szCs w:val="20"/>
              </w:rPr>
              <w:t xml:space="preserve">Environment and Resources </w:t>
            </w:r>
          </w:p>
          <w:p w14:paraId="050CEB54" w14:textId="77777777" w:rsidR="000B5960" w:rsidRDefault="000B5960" w:rsidP="000B5960">
            <w:pPr>
              <w:rPr>
                <w:rFonts w:ascii="Arial" w:hAnsi="Arial" w:cs="Arial"/>
                <w:sz w:val="20"/>
                <w:szCs w:val="20"/>
              </w:rPr>
            </w:pPr>
          </w:p>
          <w:p w14:paraId="5BACB07C" w14:textId="77777777" w:rsidR="000B5960" w:rsidRPr="00C34715" w:rsidRDefault="000B5960" w:rsidP="000B5960">
            <w:pPr>
              <w:ind w:left="720"/>
              <w:rPr>
                <w:rFonts w:ascii="Arial" w:hAnsi="Arial" w:cs="Arial"/>
                <w:b/>
                <w:bCs/>
                <w:sz w:val="20"/>
                <w:szCs w:val="20"/>
              </w:rPr>
            </w:pPr>
            <w:r>
              <w:rPr>
                <w:rFonts w:ascii="Arial" w:hAnsi="Arial" w:cs="Arial"/>
                <w:b/>
                <w:bCs/>
                <w:sz w:val="20"/>
                <w:szCs w:val="20"/>
              </w:rPr>
              <w:t>3</w:t>
            </w:r>
            <w:r w:rsidRPr="00FE4697">
              <w:rPr>
                <w:rFonts w:ascii="Arial" w:hAnsi="Arial" w:cs="Arial"/>
                <w:b/>
                <w:bCs/>
                <w:sz w:val="20"/>
                <w:szCs w:val="20"/>
              </w:rPr>
              <w:t>.1 Clean Water</w:t>
            </w:r>
          </w:p>
          <w:p w14:paraId="0AFB5D04" w14:textId="77777777" w:rsidR="000B5960" w:rsidRDefault="000B5960" w:rsidP="000B5960">
            <w:pPr>
              <w:rPr>
                <w:rFonts w:ascii="Arial" w:hAnsi="Arial" w:cs="Arial"/>
                <w:sz w:val="20"/>
                <w:szCs w:val="20"/>
              </w:rPr>
            </w:pPr>
            <w:r w:rsidRPr="00620CAA">
              <w:rPr>
                <w:rFonts w:ascii="Arial" w:hAnsi="Arial" w:cs="Arial"/>
                <w:sz w:val="20"/>
                <w:szCs w:val="20"/>
              </w:rPr>
              <w:t xml:space="preserve">The support shall comprise of investment projects and accompanying services supporting the implementation of </w:t>
            </w:r>
            <w:r>
              <w:rPr>
                <w:rFonts w:ascii="Arial" w:hAnsi="Arial" w:cs="Arial"/>
                <w:sz w:val="20"/>
                <w:szCs w:val="20"/>
              </w:rPr>
              <w:t xml:space="preserve">the </w:t>
            </w:r>
            <w:r w:rsidRPr="00620CAA">
              <w:rPr>
                <w:rFonts w:ascii="Arial" w:hAnsi="Arial" w:cs="Arial"/>
                <w:sz w:val="20"/>
                <w:szCs w:val="20"/>
              </w:rPr>
              <w:t xml:space="preserve">EU </w:t>
            </w:r>
            <w:r>
              <w:rPr>
                <w:rFonts w:ascii="Arial" w:hAnsi="Arial" w:cs="Arial"/>
                <w:sz w:val="20"/>
                <w:szCs w:val="20"/>
              </w:rPr>
              <w:t>water acquis</w:t>
            </w:r>
            <w:r w:rsidRPr="00620CAA">
              <w:rPr>
                <w:rFonts w:ascii="Arial" w:hAnsi="Arial" w:cs="Arial"/>
                <w:sz w:val="20"/>
                <w:szCs w:val="20"/>
              </w:rPr>
              <w:t>. Particular importance shall be given to</w:t>
            </w:r>
            <w:r>
              <w:rPr>
                <w:rFonts w:ascii="Arial" w:hAnsi="Arial" w:cs="Arial"/>
                <w:sz w:val="20"/>
                <w:szCs w:val="20"/>
              </w:rPr>
              <w:t xml:space="preserve"> projects:</w:t>
            </w:r>
            <w:r w:rsidRPr="00620CAA">
              <w:rPr>
                <w:rFonts w:ascii="Arial" w:hAnsi="Arial" w:cs="Arial"/>
                <w:sz w:val="20"/>
                <w:szCs w:val="20"/>
              </w:rPr>
              <w:t xml:space="preserve"> </w:t>
            </w:r>
          </w:p>
          <w:p w14:paraId="682C1F5E" w14:textId="77777777" w:rsidR="000B5960" w:rsidRDefault="000B5960" w:rsidP="000B5960">
            <w:pPr>
              <w:ind w:left="720"/>
              <w:rPr>
                <w:rFonts w:ascii="Arial" w:hAnsi="Arial" w:cs="Arial"/>
                <w:sz w:val="20"/>
                <w:szCs w:val="20"/>
              </w:rPr>
            </w:pPr>
          </w:p>
          <w:p w14:paraId="7FBC4CD6" w14:textId="77777777" w:rsidR="000B5960" w:rsidRPr="002D7FD6" w:rsidRDefault="000B5960" w:rsidP="000B5960">
            <w:pPr>
              <w:pStyle w:val="ListParagraph"/>
              <w:numPr>
                <w:ilvl w:val="0"/>
                <w:numId w:val="25"/>
              </w:numPr>
              <w:rPr>
                <w:rFonts w:ascii="Arial" w:hAnsi="Arial" w:cs="Arial"/>
                <w:sz w:val="20"/>
                <w:szCs w:val="20"/>
              </w:rPr>
            </w:pPr>
            <w:r w:rsidRPr="002D7FD6">
              <w:rPr>
                <w:rFonts w:ascii="Arial" w:hAnsi="Arial" w:cs="Arial"/>
                <w:sz w:val="20"/>
                <w:szCs w:val="20"/>
              </w:rPr>
              <w:t>ensuring access to water supply and sanitation for all EU citizens by completing and maintaining infrastructure for drinking water and wastewater treatment that complies with energy efficiency and leakage prevention criteria</w:t>
            </w:r>
            <w:r>
              <w:rPr>
                <w:rFonts w:ascii="Arial" w:hAnsi="Arial" w:cs="Arial"/>
                <w:sz w:val="20"/>
                <w:szCs w:val="20"/>
              </w:rPr>
              <w:t>.</w:t>
            </w:r>
            <w:r w:rsidRPr="002D7FD6">
              <w:rPr>
                <w:rFonts w:ascii="Arial" w:hAnsi="Arial" w:cs="Arial"/>
                <w:sz w:val="20"/>
                <w:szCs w:val="20"/>
              </w:rPr>
              <w:t xml:space="preserve"> </w:t>
            </w:r>
          </w:p>
          <w:p w14:paraId="75DC98F6" w14:textId="77777777" w:rsidR="000B5960" w:rsidRDefault="000B5960" w:rsidP="000B5960">
            <w:pPr>
              <w:pStyle w:val="ListParagraph"/>
              <w:numPr>
                <w:ilvl w:val="0"/>
                <w:numId w:val="25"/>
              </w:numPr>
              <w:rPr>
                <w:rFonts w:ascii="Arial" w:hAnsi="Arial" w:cs="Arial"/>
                <w:sz w:val="20"/>
                <w:szCs w:val="20"/>
              </w:rPr>
            </w:pPr>
            <w:r w:rsidRPr="002D7FD6">
              <w:rPr>
                <w:rFonts w:ascii="Arial" w:hAnsi="Arial" w:cs="Arial"/>
                <w:sz w:val="20"/>
                <w:szCs w:val="20"/>
              </w:rPr>
              <w:t xml:space="preserve">ensuring compliance with the Water Framework Directive (2000/60/EC) and the Floods Directive (2007/60/EC) including measures foreseen in the River Basin Management Plans </w:t>
            </w:r>
            <w:r w:rsidRPr="00620CAA">
              <w:rPr>
                <w:rFonts w:ascii="Arial" w:hAnsi="Arial" w:cs="Arial"/>
                <w:sz w:val="20"/>
                <w:szCs w:val="20"/>
              </w:rPr>
              <w:t>and Flood Risk Management Plans.</w:t>
            </w:r>
          </w:p>
          <w:p w14:paraId="2AE512E0" w14:textId="77777777" w:rsidR="000B5960" w:rsidRDefault="000B5960" w:rsidP="000B5960">
            <w:pPr>
              <w:ind w:left="720"/>
              <w:rPr>
                <w:rFonts w:ascii="Arial" w:hAnsi="Arial" w:cs="Arial"/>
                <w:sz w:val="20"/>
                <w:szCs w:val="20"/>
              </w:rPr>
            </w:pPr>
          </w:p>
          <w:p w14:paraId="3111D871" w14:textId="77777777" w:rsidR="000B5960" w:rsidRPr="002E2899" w:rsidRDefault="000B5960" w:rsidP="000B5960">
            <w:pPr>
              <w:rPr>
                <w:rFonts w:ascii="Arial" w:hAnsi="Arial" w:cs="Arial"/>
                <w:sz w:val="20"/>
                <w:szCs w:val="20"/>
              </w:rPr>
            </w:pPr>
            <w:r>
              <w:rPr>
                <w:rFonts w:ascii="Arial" w:hAnsi="Arial" w:cs="Arial"/>
                <w:sz w:val="20"/>
                <w:szCs w:val="20"/>
              </w:rPr>
              <w:t xml:space="preserve">Concerning point (ii) concrete </w:t>
            </w:r>
            <w:r w:rsidRPr="00620CAA">
              <w:rPr>
                <w:rFonts w:ascii="Arial" w:hAnsi="Arial" w:cs="Arial"/>
                <w:sz w:val="20"/>
                <w:szCs w:val="20"/>
              </w:rPr>
              <w:t>investment</w:t>
            </w:r>
            <w:r>
              <w:rPr>
                <w:rFonts w:ascii="Arial" w:hAnsi="Arial" w:cs="Arial"/>
                <w:sz w:val="20"/>
                <w:szCs w:val="20"/>
              </w:rPr>
              <w:t xml:space="preserve"> include:</w:t>
            </w:r>
            <w:r w:rsidRPr="002D7FD6">
              <w:rPr>
                <w:rFonts w:ascii="Arial" w:hAnsi="Arial" w:cs="Arial"/>
                <w:sz w:val="20"/>
                <w:szCs w:val="20"/>
              </w:rPr>
              <w:t xml:space="preserve"> re</w:t>
            </w:r>
            <w:r>
              <w:rPr>
                <w:rFonts w:ascii="Arial" w:hAnsi="Arial" w:cs="Arial"/>
                <w:sz w:val="20"/>
                <w:szCs w:val="20"/>
              </w:rPr>
              <w:t>habilitatin</w:t>
            </w:r>
            <w:r w:rsidRPr="002D7FD6">
              <w:rPr>
                <w:rFonts w:ascii="Arial" w:hAnsi="Arial" w:cs="Arial"/>
                <w:sz w:val="20"/>
                <w:szCs w:val="20"/>
              </w:rPr>
              <w:t xml:space="preserve">g or upgrading of existing hydropower to increase efficiency and reduce </w:t>
            </w:r>
            <w:r w:rsidRPr="002D7FD6">
              <w:rPr>
                <w:rFonts w:ascii="Arial" w:hAnsi="Arial" w:cs="Arial"/>
                <w:sz w:val="20"/>
                <w:szCs w:val="20"/>
              </w:rPr>
              <w:lastRenderedPageBreak/>
              <w:t>ecological impacts, and reducing diffuse pollution from agriculture, aquaculture, and industrial sources, water efficiency solutions, water reuse in any sector and in nature-based solutions to reduce flood risks.</w:t>
            </w:r>
          </w:p>
          <w:p w14:paraId="14A94251" w14:textId="77777777" w:rsidR="000B5960" w:rsidRPr="002E2899" w:rsidRDefault="000B5960" w:rsidP="000B5960">
            <w:pPr>
              <w:tabs>
                <w:tab w:val="left" w:pos="1605"/>
              </w:tabs>
              <w:autoSpaceDE w:val="0"/>
              <w:autoSpaceDN w:val="0"/>
              <w:adjustRightInd w:val="0"/>
              <w:ind w:left="720"/>
              <w:rPr>
                <w:rFonts w:ascii="Arial" w:hAnsi="Arial" w:cs="Arial"/>
                <w:b/>
                <w:sz w:val="20"/>
                <w:szCs w:val="20"/>
              </w:rPr>
            </w:pPr>
          </w:p>
          <w:p w14:paraId="3C61DA0B" w14:textId="77777777" w:rsidR="000B5960" w:rsidRPr="00C34715" w:rsidRDefault="000B5960" w:rsidP="000B5960">
            <w:pPr>
              <w:tabs>
                <w:tab w:val="left" w:pos="1605"/>
              </w:tabs>
              <w:autoSpaceDE w:val="0"/>
              <w:autoSpaceDN w:val="0"/>
              <w:adjustRightInd w:val="0"/>
              <w:ind w:left="720"/>
              <w:rPr>
                <w:rFonts w:ascii="Arial" w:hAnsi="Arial" w:cs="Arial"/>
                <w:b/>
                <w:bCs/>
                <w:sz w:val="20"/>
                <w:szCs w:val="20"/>
              </w:rPr>
            </w:pPr>
            <w:r>
              <w:rPr>
                <w:rFonts w:ascii="Arial" w:hAnsi="Arial" w:cs="Arial"/>
                <w:b/>
                <w:bCs/>
                <w:sz w:val="20"/>
                <w:szCs w:val="20"/>
              </w:rPr>
              <w:t>3</w:t>
            </w:r>
            <w:r w:rsidRPr="00FE4697">
              <w:rPr>
                <w:rFonts w:ascii="Arial" w:hAnsi="Arial" w:cs="Arial"/>
                <w:b/>
                <w:bCs/>
                <w:sz w:val="20"/>
                <w:szCs w:val="20"/>
              </w:rPr>
              <w:t>.2 Transition to Circular Economy</w:t>
            </w:r>
          </w:p>
          <w:p w14:paraId="10F6AFD1" w14:textId="77777777" w:rsidR="000B5960" w:rsidRDefault="000B5960" w:rsidP="000B5960">
            <w:pPr>
              <w:rPr>
                <w:rFonts w:ascii="Arial" w:hAnsi="Arial" w:cs="Arial"/>
                <w:sz w:val="20"/>
                <w:szCs w:val="20"/>
              </w:rPr>
            </w:pPr>
            <w:r w:rsidRPr="002D7FD6">
              <w:rPr>
                <w:rFonts w:ascii="Arial" w:hAnsi="Arial" w:cs="Arial"/>
                <w:sz w:val="20"/>
                <w:szCs w:val="20"/>
              </w:rPr>
              <w:t>Th</w:t>
            </w:r>
            <w:r>
              <w:rPr>
                <w:rFonts w:ascii="Arial" w:hAnsi="Arial" w:cs="Arial"/>
                <w:sz w:val="20"/>
                <w:szCs w:val="20"/>
              </w:rPr>
              <w:t>e</w:t>
            </w:r>
            <w:r w:rsidRPr="002D7FD6">
              <w:rPr>
                <w:rFonts w:ascii="Arial" w:hAnsi="Arial" w:cs="Arial"/>
                <w:sz w:val="20"/>
                <w:szCs w:val="20"/>
              </w:rPr>
              <w:t xml:space="preserve"> support shall comprise infrastructure necessary to support the transition towards a more circular economy in Member States notably shifting upwards in the implementation of the EU waste hierarchy. </w:t>
            </w:r>
          </w:p>
          <w:p w14:paraId="62C393E7" w14:textId="77777777" w:rsidR="000B5960" w:rsidRDefault="000B5960" w:rsidP="000B5960">
            <w:pPr>
              <w:ind w:left="720"/>
              <w:rPr>
                <w:rFonts w:ascii="Arial" w:hAnsi="Arial" w:cs="Arial"/>
                <w:sz w:val="20"/>
                <w:szCs w:val="20"/>
              </w:rPr>
            </w:pPr>
          </w:p>
          <w:p w14:paraId="040E00DA" w14:textId="77777777" w:rsidR="000B5960" w:rsidRDefault="000B5960" w:rsidP="000B5960">
            <w:pPr>
              <w:rPr>
                <w:rFonts w:ascii="Arial" w:hAnsi="Arial" w:cs="Arial"/>
                <w:sz w:val="20"/>
                <w:szCs w:val="20"/>
              </w:rPr>
            </w:pPr>
            <w:r w:rsidRPr="002D7FD6">
              <w:rPr>
                <w:rFonts w:ascii="Arial" w:hAnsi="Arial" w:cs="Arial"/>
                <w:sz w:val="20"/>
                <w:szCs w:val="20"/>
              </w:rPr>
              <w:t>Without prejudice to the exclusion criteria, investment projects should cover</w:t>
            </w:r>
            <w:r>
              <w:rPr>
                <w:rFonts w:ascii="Arial" w:hAnsi="Arial" w:cs="Arial"/>
                <w:sz w:val="20"/>
                <w:szCs w:val="20"/>
              </w:rPr>
              <w:t>:</w:t>
            </w:r>
          </w:p>
          <w:p w14:paraId="28436F4F" w14:textId="77777777" w:rsidR="000B5960" w:rsidRDefault="000B5960" w:rsidP="000B5960">
            <w:pPr>
              <w:pStyle w:val="ListParagraph"/>
              <w:numPr>
                <w:ilvl w:val="0"/>
                <w:numId w:val="26"/>
              </w:numPr>
              <w:rPr>
                <w:rFonts w:ascii="Arial" w:hAnsi="Arial" w:cs="Arial"/>
                <w:sz w:val="20"/>
                <w:szCs w:val="20"/>
              </w:rPr>
            </w:pPr>
            <w:r w:rsidRPr="002D7FD6">
              <w:rPr>
                <w:rFonts w:ascii="Arial" w:hAnsi="Arial" w:cs="Arial"/>
                <w:sz w:val="20"/>
                <w:szCs w:val="20"/>
              </w:rPr>
              <w:t>the implementation of waste management plans and waste prevention programmes (based on the revised Waste Framework Directive)</w:t>
            </w:r>
            <w:r>
              <w:rPr>
                <w:rFonts w:ascii="Arial" w:hAnsi="Arial" w:cs="Arial"/>
                <w:sz w:val="20"/>
                <w:szCs w:val="20"/>
              </w:rPr>
              <w:t>.</w:t>
            </w:r>
            <w:r w:rsidRPr="002D7FD6">
              <w:rPr>
                <w:rFonts w:ascii="Arial" w:hAnsi="Arial" w:cs="Arial"/>
                <w:sz w:val="20"/>
                <w:szCs w:val="20"/>
              </w:rPr>
              <w:t xml:space="preserve"> </w:t>
            </w:r>
          </w:p>
          <w:p w14:paraId="3E11E172" w14:textId="77777777" w:rsidR="000B5960" w:rsidRDefault="000B5960" w:rsidP="000B5960">
            <w:pPr>
              <w:pStyle w:val="ListParagraph"/>
              <w:numPr>
                <w:ilvl w:val="0"/>
                <w:numId w:val="26"/>
              </w:numPr>
              <w:rPr>
                <w:rFonts w:ascii="Arial" w:hAnsi="Arial" w:cs="Arial"/>
                <w:sz w:val="20"/>
                <w:szCs w:val="20"/>
              </w:rPr>
            </w:pPr>
            <w:r w:rsidRPr="002D7FD6">
              <w:rPr>
                <w:rFonts w:ascii="Arial" w:hAnsi="Arial" w:cs="Arial"/>
                <w:sz w:val="20"/>
                <w:szCs w:val="20"/>
              </w:rPr>
              <w:t>the establishment and support of networks</w:t>
            </w:r>
            <w:r>
              <w:rPr>
                <w:rFonts w:ascii="Arial" w:hAnsi="Arial" w:cs="Arial"/>
                <w:sz w:val="20"/>
                <w:szCs w:val="20"/>
              </w:rPr>
              <w:t xml:space="preserve">/facilities on </w:t>
            </w:r>
            <w:r w:rsidRPr="002D7FD6">
              <w:rPr>
                <w:rFonts w:ascii="Arial" w:hAnsi="Arial" w:cs="Arial"/>
                <w:sz w:val="20"/>
                <w:szCs w:val="20"/>
              </w:rPr>
              <w:t>reuse</w:t>
            </w:r>
            <w:r>
              <w:rPr>
                <w:rFonts w:ascii="Arial" w:hAnsi="Arial" w:cs="Arial"/>
                <w:sz w:val="20"/>
                <w:szCs w:val="20"/>
              </w:rPr>
              <w:t>, prepare for reuse and</w:t>
            </w:r>
            <w:r w:rsidRPr="002D7FD6">
              <w:rPr>
                <w:rFonts w:ascii="Arial" w:hAnsi="Arial" w:cs="Arial"/>
                <w:sz w:val="20"/>
                <w:szCs w:val="20"/>
              </w:rPr>
              <w:t xml:space="preserve"> repair</w:t>
            </w:r>
            <w:r>
              <w:rPr>
                <w:rFonts w:ascii="Arial" w:hAnsi="Arial" w:cs="Arial"/>
                <w:sz w:val="20"/>
                <w:szCs w:val="20"/>
              </w:rPr>
              <w:t>.</w:t>
            </w:r>
          </w:p>
          <w:p w14:paraId="4F02B1A6" w14:textId="77777777" w:rsidR="000B5960" w:rsidRPr="007E4EEC" w:rsidRDefault="000B5960" w:rsidP="000B5960">
            <w:pPr>
              <w:pStyle w:val="ListParagraph"/>
              <w:numPr>
                <w:ilvl w:val="0"/>
                <w:numId w:val="26"/>
              </w:numPr>
              <w:rPr>
                <w:rFonts w:ascii="Arial" w:hAnsi="Arial" w:cs="Arial"/>
                <w:sz w:val="20"/>
                <w:szCs w:val="20"/>
              </w:rPr>
            </w:pPr>
            <w:r w:rsidRPr="007E4EEC">
              <w:rPr>
                <w:rFonts w:ascii="Arial" w:hAnsi="Arial" w:cs="Arial"/>
                <w:sz w:val="20"/>
                <w:szCs w:val="20"/>
              </w:rPr>
              <w:t>the setting up of functional waste separation and collection schemes, and recycling facilities.</w:t>
            </w:r>
          </w:p>
          <w:p w14:paraId="356601FA" w14:textId="77777777" w:rsidR="000B5960" w:rsidRPr="002E2899" w:rsidRDefault="000B5960" w:rsidP="000B5960">
            <w:pPr>
              <w:ind w:left="720"/>
              <w:rPr>
                <w:rFonts w:ascii="Arial" w:hAnsi="Arial" w:cs="Arial"/>
                <w:sz w:val="20"/>
                <w:szCs w:val="20"/>
              </w:rPr>
            </w:pPr>
          </w:p>
          <w:p w14:paraId="2566910A" w14:textId="77777777" w:rsidR="000B5960" w:rsidRPr="00C34715" w:rsidRDefault="000B5960" w:rsidP="000B5960">
            <w:pPr>
              <w:tabs>
                <w:tab w:val="left" w:pos="1605"/>
              </w:tabs>
              <w:autoSpaceDE w:val="0"/>
              <w:autoSpaceDN w:val="0"/>
              <w:adjustRightInd w:val="0"/>
              <w:ind w:left="720"/>
              <w:rPr>
                <w:rFonts w:ascii="Arial" w:hAnsi="Arial" w:cs="Arial"/>
                <w:b/>
                <w:bCs/>
                <w:sz w:val="20"/>
                <w:szCs w:val="20"/>
              </w:rPr>
            </w:pPr>
            <w:r>
              <w:rPr>
                <w:rFonts w:ascii="Arial" w:hAnsi="Arial" w:cs="Arial"/>
                <w:b/>
                <w:bCs/>
                <w:sz w:val="20"/>
                <w:szCs w:val="20"/>
              </w:rPr>
              <w:t>3</w:t>
            </w:r>
            <w:r w:rsidRPr="00FE4697">
              <w:rPr>
                <w:rFonts w:ascii="Arial" w:hAnsi="Arial" w:cs="Arial"/>
                <w:b/>
                <w:bCs/>
                <w:sz w:val="20"/>
                <w:szCs w:val="20"/>
              </w:rPr>
              <w:t>.3 Nature Ecosystems</w:t>
            </w:r>
          </w:p>
          <w:p w14:paraId="6AD6EF77" w14:textId="77777777" w:rsidR="000B5960" w:rsidRPr="002D7FD6" w:rsidRDefault="000B5960" w:rsidP="000B5960">
            <w:pPr>
              <w:rPr>
                <w:rFonts w:ascii="Arial" w:hAnsi="Arial" w:cs="Arial"/>
                <w:sz w:val="20"/>
                <w:szCs w:val="20"/>
              </w:rPr>
            </w:pPr>
            <w:r w:rsidRPr="002D7FD6">
              <w:rPr>
                <w:rFonts w:ascii="Arial" w:hAnsi="Arial" w:cs="Arial"/>
                <w:sz w:val="20"/>
                <w:szCs w:val="20"/>
              </w:rPr>
              <w:t xml:space="preserve">The focus is on those projects that promote the conservation, restoration, management and enhancement of natural capital for biodiversity and adaptation benefits, including by means of green and blue infrastructure projects. It shall include ecosystem-based solutions to challenges, such as those related to </w:t>
            </w:r>
            <w:r w:rsidRPr="00B036CE">
              <w:rPr>
                <w:rFonts w:ascii="Arial" w:hAnsi="Arial" w:cs="Arial"/>
                <w:sz w:val="20"/>
                <w:szCs w:val="20"/>
              </w:rPr>
              <w:t xml:space="preserve">air and climate systems, sea, land, soil, forestry, agriculture, water and waste, and transport and energy. Cross-border projects shall be in particular encouraged. </w:t>
            </w:r>
            <w:r w:rsidRPr="00E67AFB">
              <w:rPr>
                <w:rFonts w:ascii="Arial" w:hAnsi="Arial" w:cs="Arial"/>
                <w:sz w:val="20"/>
                <w:szCs w:val="20"/>
              </w:rPr>
              <w:t xml:space="preserve"> Particular attention will also be paid to projects that promote sustainable cultural heritage. [GROW/ENV to clarify delineation]</w:t>
            </w:r>
          </w:p>
          <w:p w14:paraId="52ADA955" w14:textId="77777777" w:rsidR="000B5960" w:rsidRPr="002D7FD6" w:rsidRDefault="000B5960" w:rsidP="000B5960">
            <w:pPr>
              <w:ind w:left="720"/>
              <w:rPr>
                <w:rFonts w:ascii="Arial" w:hAnsi="Arial" w:cs="Arial"/>
                <w:sz w:val="20"/>
                <w:szCs w:val="20"/>
              </w:rPr>
            </w:pPr>
          </w:p>
          <w:p w14:paraId="6B45FA84" w14:textId="77777777" w:rsidR="000B5960" w:rsidRDefault="000B5960" w:rsidP="000B5960">
            <w:pPr>
              <w:rPr>
                <w:rFonts w:ascii="Arial" w:hAnsi="Arial" w:cs="Arial"/>
                <w:sz w:val="20"/>
                <w:szCs w:val="20"/>
              </w:rPr>
            </w:pPr>
            <w:r w:rsidRPr="002D7FD6">
              <w:rPr>
                <w:rFonts w:ascii="Arial" w:hAnsi="Arial" w:cs="Arial"/>
                <w:sz w:val="20"/>
                <w:szCs w:val="20"/>
              </w:rPr>
              <w:t>An important part of investments is in Nature Based Solutions in support to climate change adaptation and mitigation, including</w:t>
            </w:r>
            <w:r>
              <w:rPr>
                <w:rFonts w:ascii="Arial" w:hAnsi="Arial" w:cs="Arial"/>
                <w:sz w:val="20"/>
                <w:szCs w:val="20"/>
              </w:rPr>
              <w:t>:</w:t>
            </w:r>
          </w:p>
          <w:p w14:paraId="76A89595" w14:textId="77777777" w:rsidR="000B5960" w:rsidRDefault="000B5960" w:rsidP="000B5960">
            <w:pPr>
              <w:pStyle w:val="ListParagraph"/>
              <w:numPr>
                <w:ilvl w:val="0"/>
                <w:numId w:val="26"/>
              </w:numPr>
              <w:rPr>
                <w:rFonts w:ascii="Arial" w:hAnsi="Arial" w:cs="Arial"/>
                <w:sz w:val="20"/>
                <w:szCs w:val="20"/>
              </w:rPr>
            </w:pPr>
            <w:r w:rsidRPr="002D7FD6">
              <w:rPr>
                <w:rFonts w:ascii="Arial" w:hAnsi="Arial" w:cs="Arial"/>
                <w:sz w:val="20"/>
                <w:szCs w:val="20"/>
              </w:rPr>
              <w:t xml:space="preserve">carbon capture and sequestration through ecosystem restoration, </w:t>
            </w:r>
          </w:p>
          <w:p w14:paraId="3C7F6A3E" w14:textId="77777777" w:rsidR="000B5960" w:rsidRDefault="000B5960" w:rsidP="000B5960">
            <w:pPr>
              <w:pStyle w:val="ListParagraph"/>
              <w:numPr>
                <w:ilvl w:val="0"/>
                <w:numId w:val="26"/>
              </w:numPr>
              <w:rPr>
                <w:rFonts w:ascii="Arial" w:hAnsi="Arial" w:cs="Arial"/>
                <w:sz w:val="20"/>
                <w:szCs w:val="20"/>
              </w:rPr>
            </w:pPr>
            <w:r w:rsidRPr="002D7FD6">
              <w:rPr>
                <w:rFonts w:ascii="Arial" w:hAnsi="Arial" w:cs="Arial"/>
                <w:sz w:val="20"/>
                <w:szCs w:val="20"/>
              </w:rPr>
              <w:t xml:space="preserve">natural hazard disaster risk reduction, </w:t>
            </w:r>
          </w:p>
          <w:p w14:paraId="7F1BA2C3" w14:textId="77777777" w:rsidR="000B5960" w:rsidRDefault="000B5960" w:rsidP="000B5960">
            <w:pPr>
              <w:pStyle w:val="ListParagraph"/>
              <w:numPr>
                <w:ilvl w:val="0"/>
                <w:numId w:val="26"/>
              </w:numPr>
              <w:rPr>
                <w:rFonts w:ascii="Arial" w:hAnsi="Arial" w:cs="Arial"/>
                <w:sz w:val="20"/>
                <w:szCs w:val="20"/>
              </w:rPr>
            </w:pPr>
            <w:r w:rsidRPr="002D7FD6">
              <w:rPr>
                <w:rFonts w:ascii="Arial" w:hAnsi="Arial" w:cs="Arial"/>
                <w:sz w:val="20"/>
                <w:szCs w:val="20"/>
              </w:rPr>
              <w:t xml:space="preserve">infrastructure projects aiming at climate change adaptation and increasing the resilience to current and future climate. </w:t>
            </w:r>
          </w:p>
          <w:p w14:paraId="624015AA" w14:textId="77777777" w:rsidR="000B5960" w:rsidRDefault="000B5960" w:rsidP="000B5960">
            <w:pPr>
              <w:ind w:left="720"/>
              <w:rPr>
                <w:rFonts w:ascii="Arial" w:hAnsi="Arial" w:cs="Arial"/>
                <w:sz w:val="20"/>
                <w:szCs w:val="20"/>
              </w:rPr>
            </w:pPr>
          </w:p>
          <w:p w14:paraId="4F8BFA4A" w14:textId="77777777" w:rsidR="000B5960" w:rsidRPr="00B036CE" w:rsidRDefault="000B5960" w:rsidP="000B5960">
            <w:pPr>
              <w:rPr>
                <w:rFonts w:ascii="Arial" w:hAnsi="Arial" w:cs="Arial"/>
                <w:sz w:val="20"/>
                <w:szCs w:val="20"/>
              </w:rPr>
            </w:pPr>
            <w:r w:rsidRPr="002D7FD6">
              <w:rPr>
                <w:rFonts w:ascii="Arial" w:hAnsi="Arial" w:cs="Arial"/>
                <w:sz w:val="20"/>
                <w:szCs w:val="20"/>
              </w:rPr>
              <w:t>Th</w:t>
            </w:r>
            <w:r>
              <w:rPr>
                <w:rFonts w:ascii="Arial" w:hAnsi="Arial" w:cs="Arial"/>
                <w:sz w:val="20"/>
                <w:szCs w:val="20"/>
              </w:rPr>
              <w:t>e latter</w:t>
            </w:r>
            <w:r w:rsidRPr="002D7FD6">
              <w:rPr>
                <w:rFonts w:ascii="Arial" w:hAnsi="Arial" w:cs="Arial"/>
                <w:sz w:val="20"/>
                <w:szCs w:val="20"/>
              </w:rPr>
              <w:t xml:space="preserve"> shall include, among others, the protection of low-lying areas, coastal areas and other measures related to sea-level rise, flood prevention, improved and sustainable use of water supply and drought prevention, and adaptation of </w:t>
            </w:r>
            <w:r w:rsidRPr="00B036CE">
              <w:rPr>
                <w:rFonts w:ascii="Arial" w:hAnsi="Arial" w:cs="Arial"/>
                <w:sz w:val="20"/>
                <w:szCs w:val="20"/>
              </w:rPr>
              <w:t>infrastructure to extreme temperature.</w:t>
            </w:r>
          </w:p>
          <w:p w14:paraId="480DD96D" w14:textId="77777777" w:rsidR="000B5960" w:rsidRDefault="000B5960" w:rsidP="000B5960">
            <w:pPr>
              <w:rPr>
                <w:rFonts w:ascii="Arial" w:hAnsi="Arial" w:cs="Arial"/>
                <w:b/>
                <w:sz w:val="20"/>
                <w:szCs w:val="20"/>
              </w:rPr>
            </w:pPr>
          </w:p>
          <w:p w14:paraId="565AFDB1" w14:textId="77777777" w:rsidR="000B5960" w:rsidRPr="00AE6A54" w:rsidRDefault="000B5960" w:rsidP="000B5960">
            <w:pPr>
              <w:pStyle w:val="ListParagraph"/>
              <w:numPr>
                <w:ilvl w:val="0"/>
                <w:numId w:val="23"/>
              </w:numPr>
              <w:tabs>
                <w:tab w:val="left" w:pos="1605"/>
              </w:tabs>
              <w:autoSpaceDE w:val="0"/>
              <w:autoSpaceDN w:val="0"/>
              <w:adjustRightInd w:val="0"/>
              <w:ind w:left="316"/>
              <w:rPr>
                <w:rFonts w:ascii="Arial" w:hAnsi="Arial" w:cs="Arial"/>
                <w:b/>
                <w:bCs/>
                <w:sz w:val="20"/>
                <w:szCs w:val="20"/>
              </w:rPr>
            </w:pPr>
            <w:r w:rsidRPr="00AE6A54">
              <w:rPr>
                <w:rFonts w:ascii="Arial" w:hAnsi="Arial" w:cs="Arial"/>
                <w:b/>
                <w:bCs/>
                <w:sz w:val="20"/>
                <w:szCs w:val="20"/>
              </w:rPr>
              <w:t>Modernisation and decarbonisation of industry</w:t>
            </w:r>
          </w:p>
          <w:p w14:paraId="7BC359FF" w14:textId="77777777" w:rsidR="000B5960" w:rsidRPr="00AE6A54" w:rsidRDefault="000B5960" w:rsidP="000B5960">
            <w:pPr>
              <w:tabs>
                <w:tab w:val="left" w:pos="1605"/>
              </w:tabs>
              <w:autoSpaceDE w:val="0"/>
              <w:autoSpaceDN w:val="0"/>
              <w:adjustRightInd w:val="0"/>
              <w:rPr>
                <w:rFonts w:ascii="Arial" w:hAnsi="Arial" w:cs="Arial"/>
                <w:sz w:val="20"/>
                <w:szCs w:val="20"/>
              </w:rPr>
            </w:pPr>
            <w:r w:rsidRPr="00AE6A54">
              <w:rPr>
                <w:rFonts w:ascii="Arial" w:hAnsi="Arial" w:cs="Arial"/>
                <w:sz w:val="20"/>
                <w:szCs w:val="20"/>
              </w:rPr>
              <w:t>Low-carbon infrastructure for decarbonisation investments in the energy intensive industries, energy and transport.</w:t>
            </w:r>
          </w:p>
          <w:p w14:paraId="10607EA8" w14:textId="77777777" w:rsidR="000B5960" w:rsidRPr="00AE6A54" w:rsidRDefault="000B5960" w:rsidP="000B5960">
            <w:pPr>
              <w:tabs>
                <w:tab w:val="left" w:pos="1605"/>
              </w:tabs>
              <w:autoSpaceDE w:val="0"/>
              <w:autoSpaceDN w:val="0"/>
              <w:adjustRightInd w:val="0"/>
              <w:rPr>
                <w:rFonts w:ascii="Arial" w:hAnsi="Arial" w:cs="Arial"/>
                <w:sz w:val="20"/>
                <w:szCs w:val="20"/>
              </w:rPr>
            </w:pPr>
            <w:r w:rsidRPr="00AE6A54">
              <w:rPr>
                <w:rFonts w:ascii="Arial" w:hAnsi="Arial" w:cs="Arial"/>
                <w:sz w:val="20"/>
                <w:szCs w:val="20"/>
              </w:rPr>
              <w:t xml:space="preserve">The objective is to provide financing support to projects in the energy-transport-industry especially as regards the symbiotic investments into low-carbon infrastructure enabling the industrial decarbonisation. This may include support for CO2 or hydrogen pipelines, energy or CO2 storage facilities, or any other infrastructure enabling the flow of low-carbon energy and products related to energy intensive industries. </w:t>
            </w:r>
          </w:p>
          <w:p w14:paraId="60E79F9D" w14:textId="77777777" w:rsidR="000B5960" w:rsidRPr="002E2899" w:rsidRDefault="000B5960" w:rsidP="000B5960">
            <w:pPr>
              <w:rPr>
                <w:rFonts w:ascii="Arial" w:hAnsi="Arial" w:cs="Arial"/>
                <w:sz w:val="20"/>
                <w:szCs w:val="20"/>
              </w:rPr>
            </w:pPr>
          </w:p>
          <w:p w14:paraId="30E326CC" w14:textId="77777777" w:rsidR="000B5960" w:rsidRPr="00C34715" w:rsidRDefault="000B5960" w:rsidP="000B5960">
            <w:pPr>
              <w:pStyle w:val="ListParagraph"/>
              <w:numPr>
                <w:ilvl w:val="0"/>
                <w:numId w:val="23"/>
              </w:numPr>
              <w:tabs>
                <w:tab w:val="left" w:pos="1605"/>
              </w:tabs>
              <w:autoSpaceDE w:val="0"/>
              <w:autoSpaceDN w:val="0"/>
              <w:adjustRightInd w:val="0"/>
              <w:ind w:left="316"/>
              <w:rPr>
                <w:rFonts w:ascii="Arial" w:hAnsi="Arial" w:cs="Arial"/>
                <w:b/>
                <w:bCs/>
                <w:sz w:val="20"/>
                <w:szCs w:val="20"/>
              </w:rPr>
            </w:pPr>
            <w:r w:rsidRPr="00FE4697">
              <w:rPr>
                <w:rFonts w:ascii="Arial" w:hAnsi="Arial" w:cs="Arial"/>
                <w:b/>
                <w:bCs/>
                <w:sz w:val="20"/>
                <w:szCs w:val="20"/>
              </w:rPr>
              <w:t>Digital Connectivity</w:t>
            </w:r>
          </w:p>
          <w:p w14:paraId="15543502" w14:textId="77777777" w:rsidR="000B5960" w:rsidRDefault="000B5960" w:rsidP="000B5960">
            <w:pPr>
              <w:rPr>
                <w:rFonts w:ascii="Arial" w:hAnsi="Arial" w:cs="Arial"/>
                <w:sz w:val="20"/>
                <w:szCs w:val="20"/>
                <w:highlight w:val="cyan"/>
              </w:rPr>
            </w:pPr>
          </w:p>
          <w:p w14:paraId="5A82397C" w14:textId="77777777" w:rsidR="000B5960" w:rsidRPr="004319F9" w:rsidRDefault="000B5960" w:rsidP="000B5960">
            <w:pPr>
              <w:tabs>
                <w:tab w:val="left" w:pos="1605"/>
              </w:tabs>
              <w:autoSpaceDE w:val="0"/>
              <w:autoSpaceDN w:val="0"/>
              <w:adjustRightInd w:val="0"/>
              <w:ind w:left="77"/>
              <w:rPr>
                <w:rFonts w:ascii="Arial" w:hAnsi="Arial" w:cs="Arial"/>
                <w:b/>
                <w:sz w:val="20"/>
                <w:szCs w:val="20"/>
              </w:rPr>
            </w:pPr>
            <w:r>
              <w:rPr>
                <w:rFonts w:ascii="Arial" w:hAnsi="Arial" w:cs="Arial"/>
                <w:b/>
                <w:bCs/>
                <w:sz w:val="20"/>
                <w:szCs w:val="20"/>
              </w:rPr>
              <w:t xml:space="preserve">5.1 </w:t>
            </w:r>
            <w:r w:rsidRPr="004319F9">
              <w:rPr>
                <w:rFonts w:ascii="Arial" w:hAnsi="Arial" w:cs="Arial"/>
                <w:b/>
                <w:bCs/>
                <w:sz w:val="20"/>
                <w:szCs w:val="20"/>
              </w:rPr>
              <w:t>Gigabit</w:t>
            </w:r>
            <w:r w:rsidRPr="004319F9">
              <w:rPr>
                <w:rFonts w:ascii="Arial" w:hAnsi="Arial" w:cs="Arial"/>
                <w:b/>
                <w:sz w:val="20"/>
                <w:szCs w:val="20"/>
              </w:rPr>
              <w:t xml:space="preserve"> networks</w:t>
            </w:r>
            <w:r>
              <w:rPr>
                <w:rFonts w:ascii="Arial" w:hAnsi="Arial" w:cs="Arial"/>
                <w:b/>
                <w:sz w:val="20"/>
                <w:szCs w:val="20"/>
              </w:rPr>
              <w:t>,  5G and data infrastructures</w:t>
            </w:r>
          </w:p>
          <w:p w14:paraId="50E426E2" w14:textId="77777777" w:rsidR="000B5960" w:rsidRPr="00E67AFB" w:rsidRDefault="000B5960" w:rsidP="000B5960">
            <w:pPr>
              <w:rPr>
                <w:rFonts w:ascii="Arial" w:hAnsi="Arial" w:cs="Arial"/>
                <w:iCs/>
                <w:sz w:val="20"/>
                <w:szCs w:val="20"/>
              </w:rPr>
            </w:pPr>
            <w:r w:rsidRPr="00E67AFB">
              <w:rPr>
                <w:rFonts w:ascii="Arial" w:hAnsi="Arial" w:cs="Arial"/>
                <w:iCs/>
                <w:sz w:val="20"/>
                <w:szCs w:val="20"/>
              </w:rPr>
              <w:t xml:space="preserve">The objective of this priority area for the general debt </w:t>
            </w:r>
            <w:r>
              <w:rPr>
                <w:rFonts w:ascii="Arial" w:hAnsi="Arial" w:cs="Arial"/>
                <w:iCs/>
                <w:sz w:val="20"/>
                <w:szCs w:val="20"/>
              </w:rPr>
              <w:t xml:space="preserve">financial </w:t>
            </w:r>
            <w:r w:rsidRPr="00E67AFB">
              <w:rPr>
                <w:rFonts w:ascii="Arial" w:hAnsi="Arial" w:cs="Arial"/>
                <w:iCs/>
                <w:sz w:val="20"/>
                <w:szCs w:val="20"/>
              </w:rPr>
              <w:t xml:space="preserve">product is to continue the successful experience under EFSI, as leverage tool offering risk-sharing for debt financing of digital infrastructure deployments for projects of common interest as defined in the Connecting Europe Facility Digital relating to the deployment of safe </w:t>
            </w:r>
            <w:r w:rsidRPr="00E67AFB">
              <w:rPr>
                <w:rFonts w:ascii="Arial" w:hAnsi="Arial" w:cs="Arial"/>
                <w:iCs/>
                <w:sz w:val="20"/>
                <w:szCs w:val="20"/>
              </w:rPr>
              <w:lastRenderedPageBreak/>
              <w:t xml:space="preserve">and secure very high capacity digital networks and 5G systems, to the increased resilience and capacity of digital backbone networks on EU territories by linking them to neighbouring territories, , </w:t>
            </w:r>
            <w:r>
              <w:rPr>
                <w:rFonts w:ascii="Arial" w:hAnsi="Arial" w:cs="Arial"/>
                <w:iCs/>
                <w:sz w:val="20"/>
                <w:szCs w:val="20"/>
              </w:rPr>
              <w:t xml:space="preserve">including data and connectivity infrastructures, </w:t>
            </w:r>
            <w:r w:rsidRPr="00E67AFB">
              <w:rPr>
                <w:rFonts w:ascii="Arial" w:hAnsi="Arial" w:cs="Arial"/>
                <w:iCs/>
                <w:sz w:val="20"/>
                <w:szCs w:val="20"/>
              </w:rPr>
              <w:t>as well to the digitalization of transport and energy networks.</w:t>
            </w:r>
            <w:r>
              <w:rPr>
                <w:rFonts w:ascii="Arial" w:hAnsi="Arial" w:cs="Arial"/>
                <w:iCs/>
                <w:sz w:val="20"/>
                <w:szCs w:val="20"/>
              </w:rPr>
              <w:t xml:space="preserve"> In addition, projects that focus on rural digitalisation are included. </w:t>
            </w:r>
          </w:p>
          <w:p w14:paraId="5BB487F6" w14:textId="77777777" w:rsidR="000B5960" w:rsidRDefault="000B5960" w:rsidP="000B5960">
            <w:pPr>
              <w:rPr>
                <w:rFonts w:ascii="Arial" w:hAnsi="Arial" w:cs="Arial"/>
                <w:sz w:val="20"/>
                <w:szCs w:val="20"/>
                <w:highlight w:val="cyan"/>
              </w:rPr>
            </w:pPr>
          </w:p>
          <w:p w14:paraId="37D0DCBB" w14:textId="77777777" w:rsidR="000B5960" w:rsidRDefault="000B5960" w:rsidP="000B5960">
            <w:pPr>
              <w:tabs>
                <w:tab w:val="left" w:pos="1605"/>
              </w:tabs>
              <w:autoSpaceDE w:val="0"/>
              <w:autoSpaceDN w:val="0"/>
              <w:adjustRightInd w:val="0"/>
              <w:rPr>
                <w:rFonts w:ascii="Arial" w:hAnsi="Arial" w:cs="Arial"/>
                <w:sz w:val="20"/>
                <w:szCs w:val="20"/>
              </w:rPr>
            </w:pPr>
            <w:r>
              <w:rPr>
                <w:rFonts w:ascii="Arial" w:hAnsi="Arial" w:cs="Arial"/>
                <w:sz w:val="20"/>
                <w:szCs w:val="20"/>
              </w:rPr>
              <w:t xml:space="preserve">5.2. </w:t>
            </w:r>
            <w:r w:rsidRPr="000844B5">
              <w:rPr>
                <w:rFonts w:ascii="Arial" w:hAnsi="Arial" w:cs="Arial"/>
                <w:sz w:val="20"/>
                <w:szCs w:val="20"/>
              </w:rPr>
              <w:t>The area of “</w:t>
            </w:r>
            <w:r w:rsidRPr="000844B5">
              <w:rPr>
                <w:rFonts w:ascii="Arial" w:hAnsi="Arial" w:cs="Arial"/>
                <w:b/>
                <w:sz w:val="20"/>
                <w:szCs w:val="20"/>
              </w:rPr>
              <w:t>Digital Connectivity</w:t>
            </w:r>
            <w:r>
              <w:rPr>
                <w:rFonts w:ascii="Arial" w:hAnsi="Arial" w:cs="Arial"/>
                <w:b/>
                <w:sz w:val="20"/>
                <w:szCs w:val="20"/>
              </w:rPr>
              <w:t xml:space="preserve">” </w:t>
            </w:r>
            <w:r w:rsidRPr="002E2899">
              <w:rPr>
                <w:rFonts w:ascii="Arial" w:hAnsi="Arial" w:cs="Arial"/>
                <w:sz w:val="20"/>
                <w:szCs w:val="20"/>
              </w:rPr>
              <w:t xml:space="preserve">will notably cover </w:t>
            </w:r>
            <w:r>
              <w:rPr>
                <w:rFonts w:ascii="Arial" w:hAnsi="Arial" w:cs="Arial"/>
                <w:sz w:val="20"/>
                <w:szCs w:val="20"/>
              </w:rPr>
              <w:t xml:space="preserve">all types of </w:t>
            </w:r>
            <w:r w:rsidRPr="002E2899">
              <w:rPr>
                <w:rFonts w:ascii="Arial" w:hAnsi="Arial" w:cs="Arial"/>
                <w:sz w:val="20"/>
                <w:szCs w:val="20"/>
              </w:rPr>
              <w:t>projects</w:t>
            </w:r>
            <w:r>
              <w:rPr>
                <w:rFonts w:ascii="Arial" w:hAnsi="Arial" w:cs="Arial"/>
                <w:sz w:val="20"/>
                <w:szCs w:val="20"/>
              </w:rPr>
              <w:t xml:space="preserve"> that will </w:t>
            </w:r>
            <w:r w:rsidRPr="001D18C6">
              <w:rPr>
                <w:rFonts w:ascii="Arial" w:hAnsi="Arial" w:cs="Arial"/>
                <w:sz w:val="20"/>
                <w:szCs w:val="20"/>
              </w:rPr>
              <w:t xml:space="preserve">contribute to </w:t>
            </w:r>
            <w:r>
              <w:rPr>
                <w:rFonts w:ascii="Arial" w:hAnsi="Arial" w:cs="Arial"/>
                <w:sz w:val="20"/>
                <w:szCs w:val="20"/>
              </w:rPr>
              <w:t>the achievement of the EU’s strategic connectivity objectives as defined in the 2016 Communication from the European Commission entitled “</w:t>
            </w:r>
            <w:r w:rsidRPr="00C26DBA">
              <w:rPr>
                <w:rFonts w:ascii="Arial" w:hAnsi="Arial" w:cs="Arial"/>
                <w:i/>
                <w:sz w:val="20"/>
                <w:szCs w:val="20"/>
              </w:rPr>
              <w:t>Connectivity for a Competitive Digital Single Market – Towards a European Gigabit Society</w:t>
            </w:r>
            <w:r>
              <w:rPr>
                <w:rFonts w:ascii="Arial" w:hAnsi="Arial" w:cs="Arial"/>
                <w:sz w:val="20"/>
                <w:szCs w:val="20"/>
              </w:rPr>
              <w:t>” to ensure Gigabit capable digital connectivity infrastructures to every household as well as comprehensive coverage of 5G services.</w:t>
            </w:r>
          </w:p>
          <w:p w14:paraId="62B0CF25" w14:textId="77777777" w:rsidR="000B5960" w:rsidRDefault="000B5960" w:rsidP="000B5960">
            <w:pPr>
              <w:tabs>
                <w:tab w:val="left" w:pos="1605"/>
              </w:tabs>
              <w:autoSpaceDE w:val="0"/>
              <w:autoSpaceDN w:val="0"/>
              <w:adjustRightInd w:val="0"/>
              <w:rPr>
                <w:rFonts w:ascii="Arial" w:hAnsi="Arial" w:cs="Arial"/>
                <w:sz w:val="20"/>
                <w:szCs w:val="20"/>
              </w:rPr>
            </w:pPr>
          </w:p>
          <w:p w14:paraId="340796C8" w14:textId="77777777" w:rsidR="000B5960" w:rsidRPr="00B036CE" w:rsidRDefault="000B5960" w:rsidP="000B5960">
            <w:pPr>
              <w:pStyle w:val="ListParagraph"/>
              <w:numPr>
                <w:ilvl w:val="0"/>
                <w:numId w:val="23"/>
              </w:numPr>
              <w:tabs>
                <w:tab w:val="left" w:pos="1605"/>
              </w:tabs>
              <w:autoSpaceDE w:val="0"/>
              <w:autoSpaceDN w:val="0"/>
              <w:adjustRightInd w:val="0"/>
              <w:ind w:left="316"/>
              <w:rPr>
                <w:rFonts w:ascii="Arial" w:hAnsi="Arial" w:cs="Arial"/>
                <w:b/>
                <w:bCs/>
                <w:sz w:val="20"/>
                <w:szCs w:val="20"/>
              </w:rPr>
            </w:pPr>
            <w:r w:rsidRPr="00B036CE">
              <w:rPr>
                <w:rFonts w:ascii="Arial" w:hAnsi="Arial" w:cs="Arial"/>
                <w:b/>
                <w:bCs/>
                <w:sz w:val="20"/>
                <w:szCs w:val="20"/>
              </w:rPr>
              <w:t xml:space="preserve">Space </w:t>
            </w:r>
            <w:r w:rsidRPr="00E67AFB">
              <w:rPr>
                <w:rFonts w:ascii="Arial" w:hAnsi="Arial" w:cs="Arial"/>
                <w:b/>
                <w:bCs/>
                <w:sz w:val="20"/>
                <w:szCs w:val="20"/>
              </w:rPr>
              <w:t>&amp; Defence</w:t>
            </w:r>
            <w:r w:rsidRPr="00B036CE">
              <w:rPr>
                <w:rFonts w:ascii="Arial" w:hAnsi="Arial" w:cs="Arial"/>
                <w:b/>
                <w:bCs/>
                <w:sz w:val="20"/>
                <w:szCs w:val="20"/>
              </w:rPr>
              <w:t xml:space="preserve"> - Development &amp; Exploration of space infrastructure</w:t>
            </w:r>
          </w:p>
          <w:p w14:paraId="2230566B" w14:textId="77777777" w:rsidR="000B5960" w:rsidRPr="00E67AFB" w:rsidRDefault="000B5960" w:rsidP="000B5960">
            <w:pPr>
              <w:ind w:left="35"/>
              <w:rPr>
                <w:rFonts w:ascii="Arial" w:hAnsi="Arial" w:cs="Arial"/>
                <w:sz w:val="20"/>
                <w:szCs w:val="20"/>
              </w:rPr>
            </w:pPr>
            <w:r w:rsidRPr="00B036CE">
              <w:rPr>
                <w:rFonts w:ascii="Arial" w:hAnsi="Arial" w:cs="Arial"/>
                <w:sz w:val="20"/>
                <w:szCs w:val="20"/>
              </w:rPr>
              <w:t>The upstream sector of space covers the development and exploitation of space infrastructure, including R&amp;D, production of satellites, launchers as well as the deployment and operations of such infrastructure.</w:t>
            </w:r>
            <w:r w:rsidRPr="00E67AFB">
              <w:rPr>
                <w:rFonts w:ascii="Arial" w:hAnsi="Arial" w:cs="Arial"/>
                <w:sz w:val="20"/>
                <w:szCs w:val="20"/>
              </w:rPr>
              <w:t xml:space="preserve"> </w:t>
            </w:r>
            <w:r w:rsidRPr="00E67AFB">
              <w:rPr>
                <w:rFonts w:ascii="Arial" w:eastAsia="Arial" w:hAnsi="Arial" w:cs="Arial"/>
                <w:sz w:val="20"/>
                <w:szCs w:val="20"/>
              </w:rPr>
              <w:t>There has already been experience in financing space infrastructure through ESFI funded project such as Ariane or Terma.</w:t>
            </w:r>
          </w:p>
          <w:p w14:paraId="336FFF98" w14:textId="77777777" w:rsidR="000B5960" w:rsidRPr="002E2899" w:rsidRDefault="000B5960" w:rsidP="000B5960">
            <w:pPr>
              <w:tabs>
                <w:tab w:val="left" w:pos="1605"/>
              </w:tabs>
              <w:autoSpaceDE w:val="0"/>
              <w:autoSpaceDN w:val="0"/>
              <w:adjustRightInd w:val="0"/>
              <w:rPr>
                <w:rFonts w:ascii="Arial" w:eastAsia="Times New Roman" w:hAnsi="Arial" w:cs="Arial"/>
                <w:b/>
                <w:sz w:val="20"/>
                <w:szCs w:val="20"/>
              </w:rPr>
            </w:pPr>
          </w:p>
          <w:p w14:paraId="6AAD30F3" w14:textId="77777777" w:rsidR="000B5960" w:rsidRPr="00C34715" w:rsidRDefault="000B5960" w:rsidP="000B5960">
            <w:pPr>
              <w:pStyle w:val="ListParagraph"/>
              <w:numPr>
                <w:ilvl w:val="0"/>
                <w:numId w:val="23"/>
              </w:numPr>
              <w:tabs>
                <w:tab w:val="left" w:pos="1605"/>
              </w:tabs>
              <w:autoSpaceDE w:val="0"/>
              <w:autoSpaceDN w:val="0"/>
              <w:adjustRightInd w:val="0"/>
              <w:ind w:left="316"/>
              <w:rPr>
                <w:rFonts w:ascii="Arial" w:eastAsia="Times New Roman" w:hAnsi="Arial" w:cs="Arial"/>
                <w:b/>
                <w:bCs/>
                <w:sz w:val="20"/>
                <w:szCs w:val="20"/>
              </w:rPr>
            </w:pPr>
            <w:r w:rsidRPr="00FE4697">
              <w:rPr>
                <w:rFonts w:ascii="Arial" w:eastAsia="Times New Roman" w:hAnsi="Arial" w:cs="Arial"/>
                <w:b/>
                <w:bCs/>
                <w:sz w:val="20"/>
                <w:szCs w:val="20"/>
              </w:rPr>
              <w:t>Tourism</w:t>
            </w:r>
          </w:p>
          <w:p w14:paraId="113BC61A" w14:textId="77777777" w:rsidR="000B5960" w:rsidRPr="006D3737" w:rsidRDefault="000B5960" w:rsidP="000B5960">
            <w:pPr>
              <w:rPr>
                <w:rFonts w:ascii="Arial" w:hAnsi="Arial" w:cs="Arial"/>
                <w:sz w:val="20"/>
                <w:szCs w:val="20"/>
              </w:rPr>
            </w:pPr>
            <w:r w:rsidRPr="0013766D">
              <w:rPr>
                <w:rFonts w:ascii="Arial" w:hAnsi="Arial" w:cs="Arial"/>
                <w:sz w:val="20"/>
                <w:szCs w:val="20"/>
              </w:rPr>
              <w:t>Investments in tourism infrastructure contributing to helping Europe maintain its attractiveness as a tourism destination at global level including improving quality of hotels, accommodation and attractions; supporting digitalisation of tourism businesses and destinations; developing new attractive products in a sustainable manner for local communities and the environment; developing local supply chain; contributing to and constituting an important component of a wider urban and post-industrial regeneration project (list not exhaustive).</w:t>
            </w:r>
          </w:p>
        </w:tc>
      </w:tr>
      <w:tr w:rsidR="000B5960" w:rsidRPr="002E2899" w14:paraId="142A7654" w14:textId="77777777" w:rsidTr="000B5960">
        <w:trPr>
          <w:trHeight w:val="144"/>
        </w:trPr>
        <w:tc>
          <w:tcPr>
            <w:tcW w:w="1437" w:type="dxa"/>
          </w:tcPr>
          <w:p w14:paraId="4C146430" w14:textId="77777777" w:rsidR="000B5960" w:rsidRPr="002E2899" w:rsidRDefault="000B5960" w:rsidP="000B5960">
            <w:pPr>
              <w:jc w:val="left"/>
              <w:rPr>
                <w:rFonts w:ascii="Arial" w:hAnsi="Arial" w:cs="Arial"/>
                <w:b/>
                <w:sz w:val="20"/>
                <w:szCs w:val="20"/>
              </w:rPr>
            </w:pPr>
            <w:r>
              <w:rPr>
                <w:rFonts w:ascii="Arial" w:hAnsi="Arial" w:cs="Arial"/>
                <w:b/>
                <w:sz w:val="20"/>
                <w:szCs w:val="20"/>
              </w:rPr>
              <w:lastRenderedPageBreak/>
              <w:t xml:space="preserve">6a </w:t>
            </w:r>
          </w:p>
        </w:tc>
        <w:tc>
          <w:tcPr>
            <w:tcW w:w="2494" w:type="dxa"/>
          </w:tcPr>
          <w:p w14:paraId="455460DA" w14:textId="77777777" w:rsidR="000B5960" w:rsidRPr="00C34715" w:rsidRDefault="000B5960" w:rsidP="000B5960">
            <w:pPr>
              <w:rPr>
                <w:rFonts w:ascii="Arial" w:hAnsi="Arial" w:cs="Arial"/>
                <w:b/>
                <w:bCs/>
                <w:sz w:val="20"/>
                <w:szCs w:val="20"/>
              </w:rPr>
            </w:pPr>
            <w:r w:rsidRPr="00FE4697">
              <w:rPr>
                <w:rFonts w:ascii="Arial" w:hAnsi="Arial" w:cs="Arial"/>
                <w:b/>
                <w:bCs/>
                <w:sz w:val="20"/>
                <w:szCs w:val="20"/>
              </w:rPr>
              <w:t>Policy prioritisation</w:t>
            </w:r>
          </w:p>
        </w:tc>
        <w:tc>
          <w:tcPr>
            <w:tcW w:w="6417" w:type="dxa"/>
          </w:tcPr>
          <w:p w14:paraId="511455C0" w14:textId="77777777" w:rsidR="000B5960" w:rsidRPr="00BA2189" w:rsidRDefault="000B5960" w:rsidP="000B5960">
            <w:pPr>
              <w:autoSpaceDE w:val="0"/>
              <w:autoSpaceDN w:val="0"/>
              <w:adjustRightInd w:val="0"/>
              <w:rPr>
                <w:rFonts w:ascii="Arial" w:hAnsi="Arial" w:cs="Arial"/>
                <w:i/>
                <w:sz w:val="20"/>
                <w:szCs w:val="20"/>
              </w:rPr>
            </w:pPr>
            <w:r>
              <w:rPr>
                <w:rFonts w:ascii="Arial" w:eastAsia="Times New Roman" w:hAnsi="Arial" w:cs="Arial"/>
                <w:sz w:val="20"/>
                <w:szCs w:val="20"/>
              </w:rPr>
              <w:t xml:space="preserve">Policy prioritisation shall be determined in line with the provisions of section 2.3.2.1 of the Investment Guidelines. </w:t>
            </w:r>
          </w:p>
        </w:tc>
      </w:tr>
      <w:tr w:rsidR="000B5960" w:rsidRPr="002E2899" w14:paraId="075A34A2" w14:textId="77777777" w:rsidTr="000B5960">
        <w:trPr>
          <w:trHeight w:val="144"/>
        </w:trPr>
        <w:tc>
          <w:tcPr>
            <w:tcW w:w="1437" w:type="dxa"/>
          </w:tcPr>
          <w:p w14:paraId="3C0A243F" w14:textId="77777777" w:rsidR="000B5960" w:rsidRPr="00C34715" w:rsidRDefault="000B5960" w:rsidP="000B5960">
            <w:pPr>
              <w:rPr>
                <w:rFonts w:ascii="Arial" w:hAnsi="Arial" w:cs="Arial"/>
                <w:b/>
                <w:bCs/>
                <w:sz w:val="20"/>
                <w:szCs w:val="20"/>
              </w:rPr>
            </w:pPr>
            <w:r w:rsidRPr="00FE4697">
              <w:rPr>
                <w:rFonts w:ascii="Arial" w:hAnsi="Arial" w:cs="Arial"/>
                <w:b/>
                <w:bCs/>
                <w:sz w:val="20"/>
                <w:szCs w:val="20"/>
              </w:rPr>
              <w:t>7.</w:t>
            </w:r>
          </w:p>
        </w:tc>
        <w:tc>
          <w:tcPr>
            <w:tcW w:w="2494" w:type="dxa"/>
          </w:tcPr>
          <w:p w14:paraId="6C1D5369" w14:textId="77777777" w:rsidR="000B5960" w:rsidRPr="00C34715" w:rsidRDefault="000B5960" w:rsidP="000B5960">
            <w:pPr>
              <w:rPr>
                <w:rFonts w:ascii="Arial" w:hAnsi="Arial" w:cs="Arial"/>
                <w:b/>
                <w:bCs/>
                <w:sz w:val="20"/>
                <w:szCs w:val="20"/>
              </w:rPr>
            </w:pPr>
            <w:r w:rsidRPr="001237C7">
              <w:rPr>
                <w:rFonts w:ascii="Arial" w:hAnsi="Arial" w:cs="Arial"/>
                <w:b/>
                <w:bCs/>
                <w:sz w:val="20"/>
                <w:szCs w:val="20"/>
              </w:rPr>
              <w:t>Targeted Recipients</w:t>
            </w:r>
          </w:p>
        </w:tc>
        <w:tc>
          <w:tcPr>
            <w:tcW w:w="6417" w:type="dxa"/>
          </w:tcPr>
          <w:p w14:paraId="3C15CAC5" w14:textId="77777777" w:rsidR="000B5960" w:rsidRPr="002766FC" w:rsidRDefault="000B5960" w:rsidP="000B5960">
            <w:pPr>
              <w:rPr>
                <w:rFonts w:ascii="Arial" w:hAnsi="Arial" w:cs="Arial"/>
                <w:sz w:val="20"/>
                <w:szCs w:val="20"/>
              </w:rPr>
            </w:pPr>
            <w:r w:rsidRPr="002E2899">
              <w:rPr>
                <w:rFonts w:ascii="Arial" w:hAnsi="Arial" w:cs="Arial"/>
                <w:sz w:val="20"/>
                <w:szCs w:val="20"/>
              </w:rPr>
              <w:t xml:space="preserve">This </w:t>
            </w:r>
            <w:r>
              <w:rPr>
                <w:rFonts w:ascii="Arial" w:hAnsi="Arial" w:cs="Arial"/>
                <w:sz w:val="20"/>
                <w:szCs w:val="20"/>
              </w:rPr>
              <w:t xml:space="preserve">financial </w:t>
            </w:r>
            <w:r w:rsidRPr="002E2899">
              <w:rPr>
                <w:rFonts w:ascii="Arial" w:hAnsi="Arial" w:cs="Arial"/>
                <w:sz w:val="20"/>
                <w:szCs w:val="20"/>
              </w:rPr>
              <w:t xml:space="preserve">product targets projects that fulfil eligibility criteria and policy </w:t>
            </w:r>
            <w:r w:rsidRPr="002766FC">
              <w:rPr>
                <w:rFonts w:ascii="Arial" w:hAnsi="Arial" w:cs="Arial"/>
                <w:sz w:val="20"/>
                <w:szCs w:val="20"/>
              </w:rPr>
              <w:t>objectives. Final recipients listed in Section 2.3.1 of the Investment Guide</w:t>
            </w:r>
            <w:r>
              <w:rPr>
                <w:rFonts w:ascii="Arial" w:hAnsi="Arial" w:cs="Arial"/>
                <w:sz w:val="20"/>
                <w:szCs w:val="20"/>
              </w:rPr>
              <w:t xml:space="preserve">lines are eligible for support. </w:t>
            </w:r>
            <w:r w:rsidRPr="002766FC">
              <w:rPr>
                <w:rFonts w:ascii="Arial" w:hAnsi="Arial" w:cs="Arial"/>
                <w:sz w:val="20"/>
                <w:szCs w:val="20"/>
              </w:rPr>
              <w:t>No support under this financial product shall be provided to natural persons</w:t>
            </w:r>
            <w:r w:rsidRPr="00895923">
              <w:rPr>
                <w:rFonts w:ascii="Arial" w:hAnsi="Arial" w:cs="Arial"/>
                <w:sz w:val="20"/>
                <w:szCs w:val="20"/>
              </w:rPr>
              <w:t xml:space="preserve"> except if targeting Energy Efficiency for Households.</w:t>
            </w:r>
          </w:p>
          <w:p w14:paraId="2B10C980" w14:textId="77777777" w:rsidR="000B5960" w:rsidRPr="002E2899" w:rsidRDefault="000B5960" w:rsidP="000B5960">
            <w:pPr>
              <w:pStyle w:val="ListParagraph"/>
              <w:rPr>
                <w:rFonts w:ascii="Arial" w:hAnsi="Arial" w:cs="Arial"/>
                <w:sz w:val="20"/>
                <w:szCs w:val="20"/>
              </w:rPr>
            </w:pPr>
            <w:r w:rsidRPr="002E2899">
              <w:rPr>
                <w:rFonts w:ascii="Arial" w:hAnsi="Arial" w:cs="Arial"/>
                <w:sz w:val="20"/>
                <w:szCs w:val="20"/>
              </w:rPr>
              <w:t xml:space="preserve">. </w:t>
            </w:r>
          </w:p>
          <w:p w14:paraId="3E0EF67D" w14:textId="77777777" w:rsidR="000B5960" w:rsidRPr="00540E3C" w:rsidRDefault="000B5960" w:rsidP="000B5960">
            <w:pPr>
              <w:rPr>
                <w:rFonts w:ascii="Arial" w:hAnsi="Arial" w:cs="Arial"/>
                <w:sz w:val="20"/>
                <w:szCs w:val="20"/>
              </w:rPr>
            </w:pPr>
            <w:r w:rsidRPr="00540E3C">
              <w:rPr>
                <w:rFonts w:ascii="Arial" w:hAnsi="Arial" w:cs="Arial"/>
                <w:sz w:val="20"/>
                <w:szCs w:val="20"/>
              </w:rPr>
              <w:t>Excluded entities as per Article 136 of the Financial Regulation, shall not be supported.</w:t>
            </w:r>
          </w:p>
          <w:p w14:paraId="5F12DBB8" w14:textId="77777777" w:rsidR="000B5960" w:rsidRPr="00540E3C" w:rsidRDefault="000B5960" w:rsidP="000B5960">
            <w:pPr>
              <w:tabs>
                <w:tab w:val="left" w:pos="1605"/>
              </w:tabs>
              <w:autoSpaceDE w:val="0"/>
              <w:autoSpaceDN w:val="0"/>
              <w:adjustRightInd w:val="0"/>
              <w:rPr>
                <w:rFonts w:ascii="Arial" w:hAnsi="Arial" w:cs="Arial"/>
                <w:i/>
                <w:sz w:val="20"/>
                <w:szCs w:val="20"/>
              </w:rPr>
            </w:pPr>
          </w:p>
          <w:p w14:paraId="71841887" w14:textId="77777777" w:rsidR="000B5960" w:rsidRPr="00540E3C" w:rsidRDefault="000B5960" w:rsidP="000B5960">
            <w:pPr>
              <w:tabs>
                <w:tab w:val="left" w:pos="1605"/>
              </w:tabs>
              <w:autoSpaceDE w:val="0"/>
              <w:autoSpaceDN w:val="0"/>
              <w:adjustRightInd w:val="0"/>
              <w:rPr>
                <w:rFonts w:ascii="Arial" w:eastAsia="Times New Roman" w:hAnsi="Arial" w:cs="Arial"/>
                <w:sz w:val="20"/>
                <w:szCs w:val="20"/>
              </w:rPr>
            </w:pPr>
            <w:r w:rsidRPr="00895923">
              <w:rPr>
                <w:rFonts w:ascii="Arial" w:eastAsia="Times New Roman" w:hAnsi="Arial" w:cs="Arial"/>
                <w:sz w:val="20"/>
                <w:szCs w:val="20"/>
              </w:rPr>
              <w:t xml:space="preserve">Recipients per priority area </w:t>
            </w:r>
            <w:r>
              <w:rPr>
                <w:rFonts w:ascii="Arial" w:eastAsia="Times New Roman" w:hAnsi="Arial" w:cs="Arial"/>
                <w:sz w:val="20"/>
                <w:szCs w:val="20"/>
              </w:rPr>
              <w:t xml:space="preserve">may </w:t>
            </w:r>
            <w:r w:rsidRPr="00895923">
              <w:rPr>
                <w:rFonts w:ascii="Arial" w:eastAsia="Times New Roman" w:hAnsi="Arial" w:cs="Arial"/>
                <w:sz w:val="20"/>
                <w:szCs w:val="20"/>
              </w:rPr>
              <w:t>include notably</w:t>
            </w:r>
            <w:r w:rsidRPr="00540E3C">
              <w:rPr>
                <w:rFonts w:ascii="Arial" w:eastAsia="Times New Roman" w:hAnsi="Arial" w:cs="Arial"/>
                <w:sz w:val="20"/>
                <w:szCs w:val="20"/>
              </w:rPr>
              <w:t xml:space="preserve">: </w:t>
            </w:r>
          </w:p>
          <w:p w14:paraId="73ADE874" w14:textId="77777777" w:rsidR="000B5960" w:rsidRPr="00540E3C" w:rsidRDefault="000B5960" w:rsidP="000B5960">
            <w:pPr>
              <w:pStyle w:val="Subtitle"/>
              <w:rPr>
                <w:rFonts w:ascii="Arial" w:hAnsi="Arial" w:cs="Arial"/>
                <w:spacing w:val="0"/>
                <w:sz w:val="20"/>
                <w:szCs w:val="20"/>
              </w:rPr>
            </w:pPr>
            <w:r w:rsidRPr="00540E3C">
              <w:rPr>
                <w:rFonts w:ascii="Arial" w:hAnsi="Arial" w:cs="Arial"/>
                <w:spacing w:val="0"/>
                <w:sz w:val="20"/>
                <w:szCs w:val="20"/>
              </w:rPr>
              <w:t>Sustainable transport-TEN-T</w:t>
            </w:r>
          </w:p>
          <w:p w14:paraId="71BB9C41" w14:textId="77777777" w:rsidR="000B5960" w:rsidRPr="00540E3C" w:rsidRDefault="000B5960" w:rsidP="000B5960">
            <w:pPr>
              <w:rPr>
                <w:rFonts w:ascii="Arial" w:hAnsi="Arial" w:cs="Arial"/>
                <w:sz w:val="20"/>
                <w:szCs w:val="20"/>
              </w:rPr>
            </w:pPr>
            <w:r w:rsidRPr="00895923">
              <w:rPr>
                <w:rFonts w:ascii="Arial" w:hAnsi="Arial" w:cs="Arial"/>
                <w:sz w:val="20"/>
                <w:szCs w:val="20"/>
              </w:rPr>
              <w:t>P</w:t>
            </w:r>
            <w:r w:rsidRPr="00540E3C">
              <w:rPr>
                <w:rFonts w:ascii="Arial" w:hAnsi="Arial" w:cs="Arial"/>
                <w:sz w:val="20"/>
                <w:szCs w:val="20"/>
              </w:rPr>
              <w:t>ublic and private corporates or project companies / dedicated investment vehicles undertaking infrastructure investments for the TEN-T network.</w:t>
            </w:r>
          </w:p>
          <w:p w14:paraId="45665C07" w14:textId="77777777" w:rsidR="000B5960" w:rsidRPr="00540E3C" w:rsidRDefault="000B5960" w:rsidP="000B5960">
            <w:pPr>
              <w:rPr>
                <w:rFonts w:ascii="Arial" w:hAnsi="Arial" w:cs="Arial"/>
                <w:sz w:val="20"/>
                <w:szCs w:val="20"/>
              </w:rPr>
            </w:pPr>
          </w:p>
          <w:p w14:paraId="02E56079" w14:textId="77777777" w:rsidR="000B5960" w:rsidRPr="00540E3C" w:rsidRDefault="000B5960" w:rsidP="000B5960">
            <w:pPr>
              <w:tabs>
                <w:tab w:val="left" w:pos="1605"/>
              </w:tabs>
              <w:autoSpaceDE w:val="0"/>
              <w:autoSpaceDN w:val="0"/>
              <w:adjustRightInd w:val="0"/>
              <w:rPr>
                <w:rFonts w:ascii="Arial" w:hAnsi="Arial" w:cs="Arial"/>
                <w:b/>
                <w:bCs/>
                <w:sz w:val="20"/>
                <w:szCs w:val="20"/>
              </w:rPr>
            </w:pPr>
            <w:r w:rsidRPr="00540E3C">
              <w:rPr>
                <w:rFonts w:ascii="Arial" w:hAnsi="Arial" w:cs="Arial"/>
                <w:b/>
                <w:bCs/>
                <w:sz w:val="20"/>
                <w:szCs w:val="20"/>
              </w:rPr>
              <w:t>Sustainable transport - Cleaner, Safe and Smart Mobility</w:t>
            </w:r>
          </w:p>
          <w:p w14:paraId="34B2B2F6" w14:textId="77777777" w:rsidR="000B5960" w:rsidRPr="00540E3C" w:rsidRDefault="000B5960" w:rsidP="000B5960">
            <w:pPr>
              <w:tabs>
                <w:tab w:val="left" w:pos="1605"/>
              </w:tabs>
              <w:autoSpaceDE w:val="0"/>
              <w:autoSpaceDN w:val="0"/>
              <w:adjustRightInd w:val="0"/>
              <w:rPr>
                <w:rFonts w:ascii="Arial" w:hAnsi="Arial" w:cs="Arial"/>
                <w:b/>
                <w:bCs/>
                <w:sz w:val="20"/>
                <w:szCs w:val="20"/>
              </w:rPr>
            </w:pPr>
            <w:r w:rsidRPr="00895923">
              <w:rPr>
                <w:rFonts w:ascii="Arial" w:hAnsi="Arial" w:cs="Arial"/>
                <w:sz w:val="20"/>
                <w:szCs w:val="20"/>
              </w:rPr>
              <w:t>P</w:t>
            </w:r>
            <w:r w:rsidRPr="00540E3C">
              <w:rPr>
                <w:rFonts w:ascii="Arial" w:hAnsi="Arial" w:cs="Arial"/>
                <w:sz w:val="20"/>
                <w:szCs w:val="20"/>
              </w:rPr>
              <w:t>ublic and private corporates or project companies / dedicated investment vehicles. The profile of final recipients may cover public transport authorities, mobile asset renting and leasing companies, railway operators, ship operators, operators of alter</w:t>
            </w:r>
            <w:r>
              <w:rPr>
                <w:rFonts w:ascii="Arial" w:hAnsi="Arial" w:cs="Arial"/>
                <w:sz w:val="20"/>
                <w:szCs w:val="20"/>
              </w:rPr>
              <w:t>native fuel infrastructure, etc.</w:t>
            </w:r>
          </w:p>
          <w:p w14:paraId="46885944" w14:textId="77777777" w:rsidR="000B5960" w:rsidRPr="00540E3C" w:rsidRDefault="000B5960" w:rsidP="000B5960">
            <w:pPr>
              <w:tabs>
                <w:tab w:val="left" w:pos="1605"/>
              </w:tabs>
              <w:autoSpaceDE w:val="0"/>
              <w:autoSpaceDN w:val="0"/>
              <w:adjustRightInd w:val="0"/>
              <w:rPr>
                <w:rFonts w:ascii="Arial" w:hAnsi="Arial" w:cs="Arial"/>
                <w:b/>
                <w:sz w:val="20"/>
                <w:szCs w:val="20"/>
              </w:rPr>
            </w:pPr>
          </w:p>
          <w:p w14:paraId="77D564A2" w14:textId="77777777" w:rsidR="000B5960" w:rsidRPr="001F4607" w:rsidRDefault="000B5960" w:rsidP="000B5960">
            <w:pPr>
              <w:pStyle w:val="Subtitle"/>
              <w:spacing w:before="0"/>
              <w:rPr>
                <w:rFonts w:ascii="Arial" w:hAnsi="Arial" w:cs="Arial"/>
                <w:spacing w:val="0"/>
                <w:sz w:val="20"/>
                <w:szCs w:val="20"/>
                <w:lang w:val="de-DE"/>
              </w:rPr>
            </w:pPr>
            <w:r w:rsidRPr="001F4607">
              <w:rPr>
                <w:rFonts w:ascii="Arial" w:hAnsi="Arial" w:cs="Arial"/>
                <w:spacing w:val="0"/>
                <w:sz w:val="20"/>
                <w:szCs w:val="20"/>
                <w:lang w:val="de-DE"/>
              </w:rPr>
              <w:t>Clean Energy Transition – [TEN-E]</w:t>
            </w:r>
          </w:p>
          <w:p w14:paraId="5082A060" w14:textId="77777777" w:rsidR="000B5960" w:rsidRPr="00540E3C" w:rsidRDefault="000B5960" w:rsidP="000B5960">
            <w:pPr>
              <w:rPr>
                <w:rFonts w:ascii="Arial" w:hAnsi="Arial" w:cs="Arial"/>
                <w:sz w:val="20"/>
                <w:szCs w:val="20"/>
              </w:rPr>
            </w:pPr>
            <w:r w:rsidRPr="00540E3C">
              <w:rPr>
                <w:rFonts w:ascii="Arial" w:hAnsi="Arial" w:cs="Arial"/>
                <w:sz w:val="20"/>
                <w:szCs w:val="20"/>
              </w:rPr>
              <w:t>Public and private corporates or project companies / dedicated investment vehicles undertaking infrastructure investments for PCIs.</w:t>
            </w:r>
          </w:p>
          <w:p w14:paraId="3E4F50BA" w14:textId="77777777" w:rsidR="000B5960" w:rsidRPr="00540E3C" w:rsidRDefault="000B5960" w:rsidP="000B5960">
            <w:pPr>
              <w:tabs>
                <w:tab w:val="left" w:pos="1605"/>
              </w:tabs>
              <w:autoSpaceDE w:val="0"/>
              <w:autoSpaceDN w:val="0"/>
              <w:adjustRightInd w:val="0"/>
              <w:rPr>
                <w:rFonts w:ascii="Arial" w:hAnsi="Arial" w:cs="Arial"/>
                <w:b/>
                <w:bCs/>
                <w:sz w:val="20"/>
                <w:szCs w:val="20"/>
              </w:rPr>
            </w:pPr>
          </w:p>
          <w:p w14:paraId="03D8BED9" w14:textId="77777777" w:rsidR="000B5960" w:rsidRPr="00540E3C" w:rsidRDefault="000B5960" w:rsidP="000B5960">
            <w:pPr>
              <w:tabs>
                <w:tab w:val="left" w:pos="1605"/>
              </w:tabs>
              <w:autoSpaceDE w:val="0"/>
              <w:autoSpaceDN w:val="0"/>
              <w:adjustRightInd w:val="0"/>
              <w:rPr>
                <w:rFonts w:ascii="Arial" w:eastAsia="Times New Roman" w:hAnsi="Arial" w:cs="Arial"/>
                <w:b/>
                <w:bCs/>
                <w:sz w:val="20"/>
                <w:szCs w:val="20"/>
              </w:rPr>
            </w:pPr>
            <w:r w:rsidRPr="00540E3C">
              <w:rPr>
                <w:rFonts w:ascii="Arial" w:hAnsi="Arial" w:cs="Arial"/>
                <w:b/>
                <w:bCs/>
                <w:sz w:val="20"/>
                <w:szCs w:val="20"/>
              </w:rPr>
              <w:lastRenderedPageBreak/>
              <w:t>Clean Energy Transition – [Smart Grids and Digitization of the grid]</w:t>
            </w:r>
          </w:p>
          <w:p w14:paraId="2D1E450E" w14:textId="77777777" w:rsidR="000B5960" w:rsidRPr="00540E3C" w:rsidRDefault="000B5960" w:rsidP="000B5960">
            <w:pPr>
              <w:rPr>
                <w:rFonts w:ascii="Arial" w:hAnsi="Arial" w:cs="Arial"/>
                <w:sz w:val="20"/>
                <w:szCs w:val="20"/>
              </w:rPr>
            </w:pPr>
            <w:r w:rsidRPr="00540E3C">
              <w:rPr>
                <w:rFonts w:ascii="Arial" w:hAnsi="Arial" w:cs="Arial"/>
                <w:sz w:val="20"/>
                <w:szCs w:val="20"/>
              </w:rPr>
              <w:t>Public and private corporates, project companies, dedicated investment vehicles/platforms, SMEs, local authorities, municipalities, RES energy communities</w:t>
            </w:r>
          </w:p>
          <w:p w14:paraId="7D4BE2BA" w14:textId="77777777" w:rsidR="000B5960" w:rsidRDefault="000B5960" w:rsidP="000B5960">
            <w:pPr>
              <w:rPr>
                <w:rFonts w:ascii="Arial" w:hAnsi="Arial" w:cs="Arial"/>
                <w:sz w:val="20"/>
                <w:szCs w:val="20"/>
              </w:rPr>
            </w:pPr>
          </w:p>
          <w:p w14:paraId="6346060F" w14:textId="77777777" w:rsidR="000B5960" w:rsidRPr="00540E3C" w:rsidRDefault="000B5960" w:rsidP="000B5960">
            <w:pPr>
              <w:tabs>
                <w:tab w:val="left" w:pos="1605"/>
              </w:tabs>
              <w:autoSpaceDE w:val="0"/>
              <w:autoSpaceDN w:val="0"/>
              <w:adjustRightInd w:val="0"/>
              <w:rPr>
                <w:rFonts w:ascii="Arial" w:hAnsi="Arial" w:cs="Arial"/>
                <w:b/>
                <w:bCs/>
                <w:sz w:val="20"/>
                <w:szCs w:val="20"/>
              </w:rPr>
            </w:pPr>
            <w:r>
              <w:rPr>
                <w:rFonts w:ascii="Arial" w:hAnsi="Arial" w:cs="Arial"/>
                <w:b/>
                <w:bCs/>
                <w:sz w:val="20"/>
                <w:szCs w:val="20"/>
              </w:rPr>
              <w:t>C</w:t>
            </w:r>
            <w:r w:rsidRPr="00540E3C">
              <w:rPr>
                <w:rFonts w:ascii="Arial" w:hAnsi="Arial" w:cs="Arial"/>
                <w:b/>
                <w:bCs/>
                <w:sz w:val="20"/>
                <w:szCs w:val="20"/>
              </w:rPr>
              <w:t>lean Energy Transition- [Storage and Hybrid renewables]</w:t>
            </w:r>
          </w:p>
          <w:p w14:paraId="10635D78" w14:textId="77777777" w:rsidR="000B5960" w:rsidRPr="003A19D4" w:rsidRDefault="000B5960" w:rsidP="000B5960">
            <w:pPr>
              <w:pStyle w:val="ListParagraph"/>
              <w:numPr>
                <w:ilvl w:val="0"/>
                <w:numId w:val="38"/>
              </w:numPr>
              <w:ind w:left="358"/>
              <w:rPr>
                <w:rFonts w:ascii="Arial" w:hAnsi="Arial" w:cs="Arial"/>
                <w:sz w:val="20"/>
                <w:szCs w:val="20"/>
              </w:rPr>
            </w:pPr>
            <w:r w:rsidRPr="003A19D4">
              <w:rPr>
                <w:rFonts w:ascii="Arial" w:hAnsi="Arial" w:cs="Arial"/>
                <w:sz w:val="20"/>
                <w:szCs w:val="20"/>
              </w:rPr>
              <w:t xml:space="preserve">Storage developers. </w:t>
            </w:r>
          </w:p>
          <w:p w14:paraId="4F058D46" w14:textId="77777777" w:rsidR="000B5960" w:rsidRPr="003A19D4" w:rsidRDefault="000B5960" w:rsidP="000B5960">
            <w:pPr>
              <w:pStyle w:val="ListParagraph"/>
              <w:numPr>
                <w:ilvl w:val="0"/>
                <w:numId w:val="38"/>
              </w:numPr>
              <w:ind w:left="358"/>
              <w:rPr>
                <w:rFonts w:ascii="Arial" w:hAnsi="Arial" w:cs="Arial"/>
                <w:sz w:val="20"/>
                <w:szCs w:val="20"/>
              </w:rPr>
            </w:pPr>
            <w:r w:rsidRPr="003A19D4">
              <w:rPr>
                <w:rFonts w:ascii="Arial" w:hAnsi="Arial" w:cs="Arial"/>
                <w:sz w:val="20"/>
                <w:szCs w:val="20"/>
              </w:rPr>
              <w:t>Consortia of Storage developers and renewable developers.</w:t>
            </w:r>
          </w:p>
          <w:p w14:paraId="2309979D" w14:textId="77777777" w:rsidR="000B5960" w:rsidRPr="003A19D4" w:rsidRDefault="000B5960" w:rsidP="000B5960">
            <w:pPr>
              <w:pStyle w:val="ListParagraph"/>
              <w:numPr>
                <w:ilvl w:val="0"/>
                <w:numId w:val="38"/>
              </w:numPr>
              <w:ind w:left="358"/>
              <w:rPr>
                <w:rFonts w:ascii="Arial" w:hAnsi="Arial" w:cs="Arial"/>
                <w:sz w:val="20"/>
                <w:szCs w:val="20"/>
              </w:rPr>
            </w:pPr>
            <w:r w:rsidRPr="003A19D4">
              <w:rPr>
                <w:rFonts w:ascii="Arial" w:hAnsi="Arial" w:cs="Arial"/>
                <w:sz w:val="20"/>
                <w:szCs w:val="20"/>
              </w:rPr>
              <w:t>Local authorities, municipalities, energy communities.</w:t>
            </w:r>
          </w:p>
          <w:p w14:paraId="420A2C11" w14:textId="77777777" w:rsidR="000B5960" w:rsidRPr="003A19D4" w:rsidRDefault="000B5960" w:rsidP="000B5960">
            <w:pPr>
              <w:pStyle w:val="ListParagraph"/>
              <w:numPr>
                <w:ilvl w:val="0"/>
                <w:numId w:val="38"/>
              </w:numPr>
              <w:ind w:left="358"/>
              <w:rPr>
                <w:rFonts w:ascii="Arial" w:hAnsi="Arial" w:cs="Arial"/>
                <w:sz w:val="20"/>
                <w:szCs w:val="20"/>
              </w:rPr>
            </w:pPr>
            <w:r w:rsidRPr="003A19D4">
              <w:rPr>
                <w:rFonts w:ascii="Arial" w:hAnsi="Arial" w:cs="Arial"/>
                <w:sz w:val="20"/>
                <w:szCs w:val="20"/>
              </w:rPr>
              <w:t>Both standalone utility scale projects and distributed ‘behind the meter’ projects would be eligible, since the overall objective is to balance the grid, and react to price signals.</w:t>
            </w:r>
          </w:p>
          <w:p w14:paraId="1B494D56" w14:textId="77777777" w:rsidR="000B5960" w:rsidRPr="00A557B3" w:rsidRDefault="000B5960" w:rsidP="000B5960">
            <w:pPr>
              <w:rPr>
                <w:rFonts w:ascii="Arial" w:hAnsi="Arial" w:cs="Arial"/>
                <w:sz w:val="20"/>
                <w:szCs w:val="20"/>
              </w:rPr>
            </w:pPr>
          </w:p>
          <w:p w14:paraId="6628A8D1" w14:textId="77777777" w:rsidR="000B5960" w:rsidRPr="00540E3C" w:rsidRDefault="000B5960" w:rsidP="000B5960">
            <w:pPr>
              <w:tabs>
                <w:tab w:val="left" w:pos="1605"/>
              </w:tabs>
              <w:autoSpaceDE w:val="0"/>
              <w:autoSpaceDN w:val="0"/>
              <w:adjustRightInd w:val="0"/>
              <w:rPr>
                <w:rFonts w:ascii="Arial" w:hAnsi="Arial" w:cs="Arial"/>
                <w:sz w:val="20"/>
                <w:szCs w:val="20"/>
              </w:rPr>
            </w:pPr>
            <w:r w:rsidRPr="00540E3C">
              <w:rPr>
                <w:rFonts w:ascii="Arial" w:hAnsi="Arial" w:cs="Arial"/>
                <w:b/>
                <w:bCs/>
                <w:sz w:val="20"/>
                <w:szCs w:val="20"/>
              </w:rPr>
              <w:t>Clean Energy Transition – [Energy Efficiency]</w:t>
            </w:r>
          </w:p>
          <w:p w14:paraId="40E14C31" w14:textId="77777777" w:rsidR="000B5960" w:rsidRPr="00540E3C" w:rsidRDefault="000B5960" w:rsidP="000B5960">
            <w:pPr>
              <w:rPr>
                <w:rFonts w:ascii="Arial" w:hAnsi="Arial" w:cs="Arial"/>
                <w:sz w:val="20"/>
                <w:szCs w:val="20"/>
              </w:rPr>
            </w:pPr>
            <w:r w:rsidRPr="00540E3C">
              <w:rPr>
                <w:rFonts w:ascii="Arial" w:hAnsi="Arial" w:cs="Arial"/>
                <w:sz w:val="20"/>
                <w:szCs w:val="20"/>
              </w:rPr>
              <w:t>ESCOs and other service providers using e.g. energy performance contracts for energy efficiency renovations and integration of small renewables in existing buildings, or in public lightning.</w:t>
            </w:r>
          </w:p>
          <w:p w14:paraId="1E34CDB8" w14:textId="77777777" w:rsidR="000B5960" w:rsidRPr="00540E3C" w:rsidRDefault="000B5960" w:rsidP="000B5960">
            <w:pPr>
              <w:rPr>
                <w:rFonts w:ascii="Arial" w:hAnsi="Arial" w:cs="Arial"/>
                <w:sz w:val="20"/>
                <w:szCs w:val="20"/>
              </w:rPr>
            </w:pPr>
          </w:p>
          <w:p w14:paraId="6AC4BE1E" w14:textId="77777777" w:rsidR="000B5960" w:rsidRPr="00540E3C" w:rsidRDefault="000B5960" w:rsidP="000B5960">
            <w:pPr>
              <w:tabs>
                <w:tab w:val="left" w:pos="1605"/>
              </w:tabs>
              <w:autoSpaceDE w:val="0"/>
              <w:autoSpaceDN w:val="0"/>
              <w:adjustRightInd w:val="0"/>
              <w:rPr>
                <w:rFonts w:ascii="Arial" w:hAnsi="Arial" w:cs="Arial"/>
                <w:b/>
                <w:bCs/>
                <w:sz w:val="20"/>
                <w:szCs w:val="20"/>
              </w:rPr>
            </w:pPr>
            <w:r w:rsidRPr="00540E3C">
              <w:rPr>
                <w:rFonts w:ascii="Arial" w:hAnsi="Arial" w:cs="Arial"/>
                <w:b/>
                <w:bCs/>
                <w:sz w:val="20"/>
                <w:szCs w:val="20"/>
              </w:rPr>
              <w:t>Environment and Resources – Clean Water</w:t>
            </w:r>
          </w:p>
          <w:p w14:paraId="18BE8088" w14:textId="77777777" w:rsidR="000B5960" w:rsidRPr="00C44592" w:rsidRDefault="000B5960" w:rsidP="000B5960">
            <w:pPr>
              <w:rPr>
                <w:rFonts w:ascii="Arial" w:hAnsi="Arial" w:cs="Arial"/>
                <w:sz w:val="20"/>
                <w:szCs w:val="20"/>
              </w:rPr>
            </w:pPr>
            <w:r w:rsidRPr="00895923">
              <w:rPr>
                <w:rFonts w:ascii="Arial" w:hAnsi="Arial" w:cs="Arial"/>
                <w:sz w:val="20"/>
                <w:szCs w:val="20"/>
              </w:rPr>
              <w:t>A</w:t>
            </w:r>
            <w:r w:rsidRPr="00540E3C">
              <w:rPr>
                <w:rFonts w:ascii="Arial" w:hAnsi="Arial" w:cs="Arial"/>
                <w:sz w:val="20"/>
                <w:szCs w:val="20"/>
              </w:rPr>
              <w:t xml:space="preserve">ctors </w:t>
            </w:r>
            <w:r w:rsidRPr="00C44592">
              <w:rPr>
                <w:rFonts w:ascii="Arial" w:hAnsi="Arial" w:cs="Arial"/>
                <w:sz w:val="20"/>
                <w:szCs w:val="20"/>
              </w:rPr>
              <w:t>in the water sector as organised at the national level:</w:t>
            </w:r>
          </w:p>
          <w:p w14:paraId="5F55B001" w14:textId="77777777" w:rsidR="000B5960" w:rsidRPr="00C44592" w:rsidRDefault="000B5960" w:rsidP="000B5960">
            <w:pPr>
              <w:pStyle w:val="ListParagraph"/>
              <w:numPr>
                <w:ilvl w:val="0"/>
                <w:numId w:val="26"/>
              </w:numPr>
              <w:rPr>
                <w:rFonts w:ascii="Arial" w:hAnsi="Arial" w:cs="Arial"/>
                <w:sz w:val="20"/>
                <w:szCs w:val="20"/>
              </w:rPr>
            </w:pPr>
            <w:r w:rsidRPr="00C44592">
              <w:rPr>
                <w:rFonts w:ascii="Arial" w:hAnsi="Arial" w:cs="Arial"/>
                <w:sz w:val="20"/>
                <w:szCs w:val="20"/>
              </w:rPr>
              <w:t>Water utility companies;</w:t>
            </w:r>
          </w:p>
          <w:p w14:paraId="754E04F4" w14:textId="77777777" w:rsidR="000B5960" w:rsidRPr="00C44592" w:rsidRDefault="000B5960" w:rsidP="000B5960">
            <w:pPr>
              <w:pStyle w:val="ListParagraph"/>
              <w:numPr>
                <w:ilvl w:val="0"/>
                <w:numId w:val="26"/>
              </w:numPr>
              <w:rPr>
                <w:rFonts w:ascii="Arial" w:hAnsi="Arial" w:cs="Arial"/>
                <w:sz w:val="20"/>
                <w:szCs w:val="20"/>
              </w:rPr>
            </w:pPr>
            <w:r w:rsidRPr="00C44592">
              <w:rPr>
                <w:rFonts w:ascii="Arial" w:hAnsi="Arial" w:cs="Arial"/>
                <w:sz w:val="20"/>
                <w:szCs w:val="20"/>
              </w:rPr>
              <w:t>River basin authorities;</w:t>
            </w:r>
          </w:p>
          <w:p w14:paraId="4D2108BD" w14:textId="77777777" w:rsidR="000B5960" w:rsidRPr="00C44592" w:rsidRDefault="000B5960" w:rsidP="000B5960">
            <w:pPr>
              <w:pStyle w:val="ListParagraph"/>
              <w:numPr>
                <w:ilvl w:val="0"/>
                <w:numId w:val="26"/>
              </w:numPr>
              <w:rPr>
                <w:rFonts w:ascii="Arial" w:hAnsi="Arial" w:cs="Arial"/>
                <w:sz w:val="20"/>
                <w:szCs w:val="20"/>
              </w:rPr>
            </w:pPr>
            <w:r w:rsidRPr="00C44592">
              <w:rPr>
                <w:rFonts w:ascii="Arial" w:hAnsi="Arial" w:cs="Arial"/>
                <w:sz w:val="20"/>
                <w:szCs w:val="20"/>
              </w:rPr>
              <w:t>Authorities responsible for flood risk management;</w:t>
            </w:r>
          </w:p>
          <w:p w14:paraId="07591D7F" w14:textId="77777777" w:rsidR="000B5960" w:rsidRPr="00C44592" w:rsidRDefault="000B5960" w:rsidP="000B5960">
            <w:pPr>
              <w:pStyle w:val="ListParagraph"/>
              <w:numPr>
                <w:ilvl w:val="0"/>
                <w:numId w:val="26"/>
              </w:numPr>
              <w:rPr>
                <w:rFonts w:ascii="Arial" w:hAnsi="Arial" w:cs="Arial"/>
                <w:sz w:val="20"/>
                <w:szCs w:val="20"/>
              </w:rPr>
            </w:pPr>
            <w:r w:rsidRPr="00C44592">
              <w:rPr>
                <w:rFonts w:ascii="Arial" w:hAnsi="Arial" w:cs="Arial"/>
                <w:sz w:val="20"/>
                <w:szCs w:val="20"/>
              </w:rPr>
              <w:t>Water user associations.</w:t>
            </w:r>
          </w:p>
          <w:p w14:paraId="00CD34A8" w14:textId="77777777" w:rsidR="000B5960" w:rsidRPr="00540E3C" w:rsidRDefault="000B5960" w:rsidP="000B5960">
            <w:pPr>
              <w:rPr>
                <w:rFonts w:ascii="Arial" w:hAnsi="Arial" w:cs="Arial"/>
                <w:sz w:val="20"/>
                <w:szCs w:val="20"/>
              </w:rPr>
            </w:pPr>
          </w:p>
          <w:p w14:paraId="5B69C841" w14:textId="77777777" w:rsidR="000B5960" w:rsidRPr="00540E3C" w:rsidRDefault="000B5960" w:rsidP="000B5960">
            <w:pPr>
              <w:tabs>
                <w:tab w:val="left" w:pos="1605"/>
              </w:tabs>
              <w:autoSpaceDE w:val="0"/>
              <w:autoSpaceDN w:val="0"/>
              <w:adjustRightInd w:val="0"/>
              <w:rPr>
                <w:rFonts w:ascii="Arial" w:hAnsi="Arial" w:cs="Arial"/>
                <w:b/>
                <w:bCs/>
                <w:sz w:val="20"/>
                <w:szCs w:val="20"/>
              </w:rPr>
            </w:pPr>
            <w:r w:rsidRPr="00540E3C">
              <w:rPr>
                <w:rFonts w:ascii="Arial" w:hAnsi="Arial" w:cs="Arial"/>
                <w:b/>
                <w:bCs/>
                <w:sz w:val="20"/>
                <w:szCs w:val="20"/>
              </w:rPr>
              <w:t>Environment and Resources - Transition to Circular Economy</w:t>
            </w:r>
          </w:p>
          <w:p w14:paraId="04343A70" w14:textId="77777777" w:rsidR="000B5960" w:rsidRPr="00540E3C" w:rsidRDefault="000B5960" w:rsidP="000B5960">
            <w:pPr>
              <w:rPr>
                <w:rFonts w:ascii="Arial" w:hAnsi="Arial" w:cs="Arial"/>
                <w:sz w:val="20"/>
                <w:szCs w:val="20"/>
              </w:rPr>
            </w:pPr>
            <w:r w:rsidRPr="00540E3C">
              <w:rPr>
                <w:rFonts w:ascii="Arial" w:hAnsi="Arial" w:cs="Arial"/>
                <w:sz w:val="20"/>
                <w:szCs w:val="20"/>
              </w:rPr>
              <w:t>Actors in the waste sector and in the industry deploying circular economy.</w:t>
            </w:r>
          </w:p>
          <w:p w14:paraId="62B28AF1" w14:textId="77777777" w:rsidR="000B5960" w:rsidRDefault="000B5960" w:rsidP="000B5960">
            <w:pPr>
              <w:rPr>
                <w:rFonts w:ascii="Arial" w:hAnsi="Arial" w:cs="Arial"/>
                <w:sz w:val="20"/>
                <w:szCs w:val="20"/>
              </w:rPr>
            </w:pPr>
          </w:p>
          <w:p w14:paraId="7689187D" w14:textId="77777777" w:rsidR="000B5960" w:rsidRPr="00540E3C" w:rsidRDefault="000B5960" w:rsidP="000B5960">
            <w:pPr>
              <w:tabs>
                <w:tab w:val="left" w:pos="1605"/>
              </w:tabs>
              <w:autoSpaceDE w:val="0"/>
              <w:autoSpaceDN w:val="0"/>
              <w:adjustRightInd w:val="0"/>
              <w:rPr>
                <w:rFonts w:ascii="Arial" w:hAnsi="Arial" w:cs="Arial"/>
                <w:b/>
                <w:bCs/>
                <w:sz w:val="20"/>
                <w:szCs w:val="20"/>
              </w:rPr>
            </w:pPr>
            <w:r w:rsidRPr="00540E3C">
              <w:rPr>
                <w:rFonts w:ascii="Arial" w:hAnsi="Arial" w:cs="Arial"/>
                <w:b/>
                <w:bCs/>
                <w:sz w:val="20"/>
                <w:szCs w:val="20"/>
              </w:rPr>
              <w:t>Environment and Resources - Nature Ecosystems</w:t>
            </w:r>
          </w:p>
          <w:p w14:paraId="047D648E" w14:textId="77777777" w:rsidR="000B5960" w:rsidRPr="00A97233" w:rsidRDefault="000B5960" w:rsidP="000B5960">
            <w:pPr>
              <w:pStyle w:val="ListParagraph"/>
              <w:numPr>
                <w:ilvl w:val="0"/>
                <w:numId w:val="37"/>
              </w:numPr>
              <w:rPr>
                <w:rFonts w:ascii="Arial" w:hAnsi="Arial" w:cs="Arial"/>
                <w:sz w:val="20"/>
                <w:szCs w:val="20"/>
              </w:rPr>
            </w:pPr>
            <w:r w:rsidRPr="00A97233">
              <w:rPr>
                <w:rFonts w:ascii="Arial" w:hAnsi="Arial" w:cs="Arial"/>
                <w:sz w:val="20"/>
                <w:szCs w:val="20"/>
              </w:rPr>
              <w:t>Public authorities implementing climate change adaptation and mitigation strategies at local, regional and national levels;</w:t>
            </w:r>
          </w:p>
          <w:p w14:paraId="598759DA" w14:textId="77777777" w:rsidR="000B5960" w:rsidRPr="00A97233" w:rsidRDefault="000B5960" w:rsidP="000B5960">
            <w:pPr>
              <w:pStyle w:val="ListParagraph"/>
              <w:numPr>
                <w:ilvl w:val="0"/>
                <w:numId w:val="37"/>
              </w:numPr>
              <w:rPr>
                <w:rFonts w:ascii="Arial" w:hAnsi="Arial" w:cs="Arial"/>
                <w:sz w:val="20"/>
                <w:szCs w:val="20"/>
              </w:rPr>
            </w:pPr>
            <w:r w:rsidRPr="00A97233">
              <w:rPr>
                <w:rFonts w:ascii="Arial" w:hAnsi="Arial" w:cs="Arial"/>
                <w:sz w:val="20"/>
                <w:szCs w:val="20"/>
              </w:rPr>
              <w:t>Actors in the management of public spaces;</w:t>
            </w:r>
          </w:p>
          <w:p w14:paraId="388ED7DD" w14:textId="77777777" w:rsidR="000B5960" w:rsidRPr="00A97233" w:rsidRDefault="000B5960" w:rsidP="000B5960">
            <w:pPr>
              <w:pStyle w:val="ListParagraph"/>
              <w:numPr>
                <w:ilvl w:val="0"/>
                <w:numId w:val="37"/>
              </w:numPr>
              <w:rPr>
                <w:rFonts w:ascii="Arial" w:hAnsi="Arial" w:cs="Arial"/>
                <w:sz w:val="20"/>
                <w:szCs w:val="20"/>
              </w:rPr>
            </w:pPr>
            <w:r w:rsidRPr="00A97233">
              <w:rPr>
                <w:rFonts w:ascii="Arial" w:hAnsi="Arial" w:cs="Arial"/>
                <w:sz w:val="20"/>
                <w:szCs w:val="20"/>
              </w:rPr>
              <w:t>Farmers/foresters/fishermen practicing or transitioning towards ecosystem-based or integrated agriculture (i.e. agroecology), forestry or fisheries;</w:t>
            </w:r>
          </w:p>
          <w:p w14:paraId="5AFC00B1" w14:textId="77777777" w:rsidR="000B5960" w:rsidRDefault="000B5960" w:rsidP="000B5960">
            <w:pPr>
              <w:pStyle w:val="ListParagraph"/>
              <w:numPr>
                <w:ilvl w:val="0"/>
                <w:numId w:val="37"/>
              </w:numPr>
              <w:rPr>
                <w:rFonts w:ascii="Arial" w:hAnsi="Arial" w:cs="Arial"/>
                <w:sz w:val="20"/>
                <w:szCs w:val="20"/>
              </w:rPr>
            </w:pPr>
            <w:r w:rsidRPr="00A97233">
              <w:rPr>
                <w:rFonts w:ascii="Arial" w:hAnsi="Arial" w:cs="Arial"/>
                <w:sz w:val="20"/>
                <w:szCs w:val="20"/>
              </w:rPr>
              <w:t>Actors in industry and SMEs using nature based solutions.</w:t>
            </w:r>
          </w:p>
          <w:p w14:paraId="10B3641D" w14:textId="77777777" w:rsidR="000B5960" w:rsidRPr="00A97233" w:rsidRDefault="000B5960" w:rsidP="000B5960">
            <w:pPr>
              <w:pStyle w:val="ListParagraph"/>
              <w:numPr>
                <w:ilvl w:val="0"/>
                <w:numId w:val="37"/>
              </w:numPr>
              <w:rPr>
                <w:rFonts w:ascii="Arial" w:hAnsi="Arial" w:cs="Arial"/>
                <w:sz w:val="20"/>
                <w:szCs w:val="20"/>
              </w:rPr>
            </w:pPr>
            <w:r w:rsidRPr="00A97233">
              <w:rPr>
                <w:rFonts w:ascii="Arial" w:hAnsi="Arial" w:cs="Arial"/>
                <w:sz w:val="20"/>
                <w:szCs w:val="20"/>
              </w:rPr>
              <w:t>Private and public actors implementing projects on nature restoration, conservation, management and enhancement;</w:t>
            </w:r>
          </w:p>
          <w:p w14:paraId="4D146FE5" w14:textId="77777777" w:rsidR="000B5960" w:rsidRPr="003A19D4" w:rsidRDefault="000B5960" w:rsidP="000B5960">
            <w:pPr>
              <w:rPr>
                <w:rFonts w:ascii="Arial" w:hAnsi="Arial" w:cs="Arial"/>
                <w:sz w:val="20"/>
                <w:szCs w:val="20"/>
              </w:rPr>
            </w:pPr>
          </w:p>
          <w:p w14:paraId="24158959" w14:textId="77777777" w:rsidR="000B5960" w:rsidRPr="00540E3C" w:rsidRDefault="000B5960" w:rsidP="000B5960">
            <w:pPr>
              <w:pStyle w:val="Subtitle"/>
              <w:rPr>
                <w:rFonts w:ascii="Arial" w:hAnsi="Arial" w:cs="Arial"/>
                <w:spacing w:val="0"/>
                <w:sz w:val="20"/>
                <w:szCs w:val="20"/>
              </w:rPr>
            </w:pPr>
            <w:r w:rsidRPr="00540E3C">
              <w:rPr>
                <w:rFonts w:ascii="Arial" w:hAnsi="Arial" w:cs="Arial"/>
                <w:spacing w:val="0"/>
                <w:sz w:val="20"/>
                <w:szCs w:val="20"/>
              </w:rPr>
              <w:t>Digital connectivity – Gigabit networks and 5G infrastructures</w:t>
            </w:r>
          </w:p>
          <w:p w14:paraId="6942D70C" w14:textId="77777777" w:rsidR="000B5960" w:rsidRPr="00895923" w:rsidRDefault="000B5960" w:rsidP="000B5960">
            <w:pPr>
              <w:rPr>
                <w:rFonts w:ascii="Arial" w:hAnsi="Arial" w:cs="Arial"/>
                <w:sz w:val="20"/>
                <w:szCs w:val="20"/>
              </w:rPr>
            </w:pPr>
            <w:r>
              <w:rPr>
                <w:rFonts w:ascii="Arial" w:hAnsi="Arial" w:cs="Arial"/>
                <w:sz w:val="20"/>
                <w:szCs w:val="20"/>
              </w:rPr>
              <w:t>p</w:t>
            </w:r>
            <w:r w:rsidRPr="00540E3C">
              <w:rPr>
                <w:rFonts w:ascii="Arial" w:hAnsi="Arial" w:cs="Arial"/>
                <w:sz w:val="20"/>
                <w:szCs w:val="20"/>
              </w:rPr>
              <w:t>ublic and private entities and project companies (including fixed and mobile network operators)</w:t>
            </w:r>
            <w:r>
              <w:rPr>
                <w:rFonts w:ascii="Arial" w:hAnsi="Arial" w:cs="Arial"/>
                <w:sz w:val="20"/>
                <w:szCs w:val="20"/>
              </w:rPr>
              <w:t xml:space="preserve">, </w:t>
            </w:r>
            <w:r w:rsidRPr="00540E3C">
              <w:rPr>
                <w:rFonts w:ascii="Arial" w:hAnsi="Arial" w:cs="Arial"/>
                <w:sz w:val="20"/>
                <w:szCs w:val="20"/>
              </w:rPr>
              <w:t>dedicated investment vehicles/platforms undertaking infrastructure investments for PCIs.</w:t>
            </w:r>
          </w:p>
          <w:p w14:paraId="4440DEA5" w14:textId="77777777" w:rsidR="000B5960" w:rsidRPr="00540E3C" w:rsidRDefault="000B5960" w:rsidP="000B5960">
            <w:pPr>
              <w:rPr>
                <w:rFonts w:ascii="Arial" w:hAnsi="Arial" w:cs="Arial"/>
                <w:sz w:val="20"/>
                <w:szCs w:val="20"/>
              </w:rPr>
            </w:pPr>
          </w:p>
          <w:p w14:paraId="07AA4061" w14:textId="77777777" w:rsidR="000B5960" w:rsidRPr="00540E3C" w:rsidRDefault="000B5960" w:rsidP="000B5960">
            <w:pPr>
              <w:tabs>
                <w:tab w:val="left" w:pos="1605"/>
              </w:tabs>
              <w:autoSpaceDE w:val="0"/>
              <w:autoSpaceDN w:val="0"/>
              <w:adjustRightInd w:val="0"/>
              <w:rPr>
                <w:rFonts w:ascii="Arial" w:hAnsi="Arial" w:cs="Arial"/>
                <w:b/>
                <w:bCs/>
                <w:sz w:val="20"/>
                <w:szCs w:val="20"/>
              </w:rPr>
            </w:pPr>
            <w:r w:rsidRPr="00540E3C">
              <w:rPr>
                <w:rFonts w:ascii="Arial" w:hAnsi="Arial" w:cs="Arial"/>
                <w:b/>
                <w:bCs/>
                <w:sz w:val="20"/>
                <w:szCs w:val="20"/>
              </w:rPr>
              <w:t>Digital Connectivity – Digital connectivity</w:t>
            </w:r>
          </w:p>
          <w:p w14:paraId="297473F3" w14:textId="77777777" w:rsidR="000B5960" w:rsidRPr="00540E3C" w:rsidRDefault="000B5960" w:rsidP="000B5960">
            <w:pPr>
              <w:rPr>
                <w:rFonts w:ascii="Arial" w:hAnsi="Arial" w:cs="Arial"/>
                <w:sz w:val="20"/>
                <w:szCs w:val="20"/>
              </w:rPr>
            </w:pPr>
            <w:r w:rsidRPr="00540E3C">
              <w:rPr>
                <w:rFonts w:ascii="Arial" w:hAnsi="Arial" w:cs="Arial"/>
                <w:sz w:val="20"/>
                <w:szCs w:val="20"/>
              </w:rPr>
              <w:t>Public and private corporates (including fixed and mobile network operators), project companies,</w:t>
            </w:r>
            <w:r>
              <w:rPr>
                <w:rFonts w:ascii="Arial" w:hAnsi="Arial" w:cs="Arial"/>
                <w:sz w:val="20"/>
                <w:szCs w:val="20"/>
              </w:rPr>
              <w:t xml:space="preserve"> consortia,</w:t>
            </w:r>
            <w:r w:rsidRPr="00540E3C">
              <w:rPr>
                <w:rFonts w:ascii="Arial" w:hAnsi="Arial" w:cs="Arial"/>
                <w:sz w:val="20"/>
                <w:szCs w:val="20"/>
              </w:rPr>
              <w:t xml:space="preserve"> dedicated investment vehicles/platforms, SMEs, local authorities, municipalities, etc. deploying Gigabit capable digital connectivity and 5G infrastructures. </w:t>
            </w:r>
          </w:p>
          <w:p w14:paraId="7390F948" w14:textId="77777777" w:rsidR="000B5960" w:rsidRPr="00540E3C" w:rsidRDefault="000B5960" w:rsidP="000B5960">
            <w:pPr>
              <w:rPr>
                <w:rFonts w:ascii="Arial" w:hAnsi="Arial" w:cs="Arial"/>
                <w:sz w:val="20"/>
                <w:szCs w:val="20"/>
              </w:rPr>
            </w:pPr>
          </w:p>
          <w:p w14:paraId="1BB82E5A" w14:textId="77777777" w:rsidR="000B5960" w:rsidRPr="00540E3C" w:rsidRDefault="000B5960" w:rsidP="000B5960">
            <w:pPr>
              <w:tabs>
                <w:tab w:val="left" w:pos="1605"/>
              </w:tabs>
              <w:autoSpaceDE w:val="0"/>
              <w:autoSpaceDN w:val="0"/>
              <w:adjustRightInd w:val="0"/>
              <w:rPr>
                <w:rFonts w:ascii="Arial" w:hAnsi="Arial" w:cs="Arial"/>
                <w:b/>
                <w:bCs/>
                <w:sz w:val="20"/>
                <w:szCs w:val="20"/>
              </w:rPr>
            </w:pPr>
            <w:r w:rsidRPr="00540E3C">
              <w:rPr>
                <w:rFonts w:ascii="Arial" w:hAnsi="Arial" w:cs="Arial"/>
                <w:b/>
                <w:bCs/>
                <w:sz w:val="20"/>
                <w:szCs w:val="20"/>
              </w:rPr>
              <w:t>Space &amp; Defence - Development &amp; Exploration of space infrastructure</w:t>
            </w:r>
            <w:r>
              <w:rPr>
                <w:rFonts w:ascii="Arial" w:hAnsi="Arial" w:cs="Arial"/>
                <w:b/>
                <w:bCs/>
                <w:sz w:val="20"/>
                <w:szCs w:val="20"/>
              </w:rPr>
              <w:t>:</w:t>
            </w:r>
          </w:p>
          <w:p w14:paraId="03D6FB74" w14:textId="77777777" w:rsidR="000B5960" w:rsidRPr="00540E3C" w:rsidRDefault="000B5960" w:rsidP="000B5960">
            <w:pPr>
              <w:rPr>
                <w:rFonts w:ascii="Arial" w:hAnsi="Arial" w:cs="Arial"/>
                <w:sz w:val="20"/>
                <w:szCs w:val="20"/>
              </w:rPr>
            </w:pPr>
          </w:p>
          <w:p w14:paraId="697952ED" w14:textId="77777777" w:rsidR="000B5960" w:rsidRDefault="000B5960" w:rsidP="000B5960">
            <w:pPr>
              <w:pStyle w:val="ListParagraph"/>
              <w:numPr>
                <w:ilvl w:val="0"/>
                <w:numId w:val="18"/>
              </w:numPr>
              <w:ind w:left="287"/>
              <w:rPr>
                <w:rFonts w:ascii="Arial" w:hAnsi="Arial" w:cs="Arial"/>
                <w:sz w:val="20"/>
                <w:szCs w:val="20"/>
              </w:rPr>
            </w:pPr>
            <w:r w:rsidRPr="00540E3C">
              <w:rPr>
                <w:rFonts w:ascii="Arial" w:hAnsi="Arial" w:cs="Arial"/>
                <w:sz w:val="20"/>
                <w:szCs w:val="20"/>
              </w:rPr>
              <w:t>Be established in a EU Member State at the time of first investment and that at least 75% of the cost correspond to activities for the development or operation of space or launcher systems or technologies which shall be implemented in the EU</w:t>
            </w:r>
          </w:p>
          <w:p w14:paraId="6E6F3A5E" w14:textId="77777777" w:rsidR="000B5960" w:rsidRPr="00540E3C" w:rsidRDefault="000B5960" w:rsidP="000B5960">
            <w:pPr>
              <w:pStyle w:val="ListParagraph"/>
              <w:numPr>
                <w:ilvl w:val="0"/>
                <w:numId w:val="18"/>
              </w:numPr>
              <w:ind w:left="287"/>
              <w:rPr>
                <w:rFonts w:ascii="Arial" w:hAnsi="Arial" w:cs="Arial"/>
                <w:sz w:val="20"/>
                <w:szCs w:val="20"/>
              </w:rPr>
            </w:pPr>
            <w:r w:rsidRPr="00540E3C">
              <w:rPr>
                <w:rFonts w:ascii="Arial" w:hAnsi="Arial" w:cs="Arial"/>
                <w:sz w:val="20"/>
                <w:szCs w:val="20"/>
              </w:rPr>
              <w:lastRenderedPageBreak/>
              <w:t>Be established in a EU Member State at the time of first investment and exploit space or data or information in order to develop or manufacture products or services in the EU</w:t>
            </w:r>
          </w:p>
          <w:p w14:paraId="3C1F140C" w14:textId="77777777" w:rsidR="000B5960" w:rsidRPr="00540E3C" w:rsidRDefault="000B5960" w:rsidP="000B5960">
            <w:pPr>
              <w:ind w:left="-73"/>
              <w:rPr>
                <w:rFonts w:ascii="Arial" w:hAnsi="Arial" w:cs="Arial"/>
                <w:sz w:val="20"/>
                <w:szCs w:val="20"/>
              </w:rPr>
            </w:pPr>
          </w:p>
          <w:p w14:paraId="0F50D96B" w14:textId="77777777" w:rsidR="000B5960" w:rsidRPr="00540E3C" w:rsidRDefault="000B5960" w:rsidP="000B5960">
            <w:pPr>
              <w:tabs>
                <w:tab w:val="left" w:pos="1605"/>
              </w:tabs>
              <w:autoSpaceDE w:val="0"/>
              <w:autoSpaceDN w:val="0"/>
              <w:adjustRightInd w:val="0"/>
              <w:rPr>
                <w:rFonts w:ascii="Arial" w:eastAsia="Times New Roman" w:hAnsi="Arial" w:cs="Arial"/>
                <w:b/>
                <w:sz w:val="20"/>
                <w:szCs w:val="20"/>
              </w:rPr>
            </w:pPr>
            <w:r w:rsidRPr="00540E3C">
              <w:rPr>
                <w:rFonts w:ascii="Arial" w:eastAsia="Times New Roman" w:hAnsi="Arial" w:cs="Arial"/>
                <w:b/>
                <w:sz w:val="20"/>
                <w:szCs w:val="20"/>
              </w:rPr>
              <w:t>[Low-carbon infrastructure for decarbonisation investments in the energy intensive industry, energy and transport.]</w:t>
            </w:r>
          </w:p>
          <w:p w14:paraId="2BB1952B" w14:textId="77777777" w:rsidR="000B5960" w:rsidRPr="00540E3C" w:rsidRDefault="000B5960" w:rsidP="000B5960">
            <w:pPr>
              <w:pStyle w:val="ListParagraph"/>
              <w:numPr>
                <w:ilvl w:val="0"/>
                <w:numId w:val="27"/>
              </w:numPr>
              <w:tabs>
                <w:tab w:val="left" w:pos="1605"/>
              </w:tabs>
              <w:autoSpaceDE w:val="0"/>
              <w:autoSpaceDN w:val="0"/>
              <w:adjustRightInd w:val="0"/>
              <w:ind w:left="319"/>
              <w:rPr>
                <w:rFonts w:ascii="Arial" w:hAnsi="Arial" w:cs="Arial"/>
                <w:sz w:val="20"/>
                <w:szCs w:val="20"/>
              </w:rPr>
            </w:pPr>
            <w:r w:rsidRPr="00540E3C">
              <w:rPr>
                <w:rFonts w:ascii="Arial" w:hAnsi="Arial" w:cs="Arial"/>
                <w:sz w:val="20"/>
                <w:szCs w:val="20"/>
              </w:rPr>
              <w:t xml:space="preserve">Be established in a EU Member State Any legal entity including large corporates in energy intensive industries, transport or energy sectors, public authorities (e.g. ports) and their consortia developing low-carbon infrastructure for industrial symbiosis projects aiming at value-chain decarbonisation. </w:t>
            </w:r>
          </w:p>
          <w:p w14:paraId="56B46E68" w14:textId="77777777" w:rsidR="000B5960" w:rsidRPr="00540E3C" w:rsidRDefault="000B5960" w:rsidP="000B5960">
            <w:pPr>
              <w:tabs>
                <w:tab w:val="left" w:pos="1605"/>
              </w:tabs>
              <w:autoSpaceDE w:val="0"/>
              <w:autoSpaceDN w:val="0"/>
              <w:adjustRightInd w:val="0"/>
              <w:rPr>
                <w:rFonts w:ascii="Arial" w:eastAsia="Times New Roman" w:hAnsi="Arial" w:cs="Arial"/>
                <w:b/>
                <w:sz w:val="20"/>
                <w:szCs w:val="20"/>
              </w:rPr>
            </w:pPr>
          </w:p>
          <w:p w14:paraId="62FC792D" w14:textId="77777777" w:rsidR="000B5960" w:rsidRPr="00540E3C" w:rsidRDefault="000B5960" w:rsidP="000B5960">
            <w:pPr>
              <w:tabs>
                <w:tab w:val="left" w:pos="1605"/>
              </w:tabs>
              <w:autoSpaceDE w:val="0"/>
              <w:autoSpaceDN w:val="0"/>
              <w:adjustRightInd w:val="0"/>
              <w:rPr>
                <w:rFonts w:ascii="Arial" w:eastAsia="Times New Roman" w:hAnsi="Arial" w:cs="Arial"/>
                <w:b/>
                <w:bCs/>
                <w:sz w:val="20"/>
                <w:szCs w:val="20"/>
              </w:rPr>
            </w:pPr>
            <w:r w:rsidRPr="00540E3C">
              <w:rPr>
                <w:rFonts w:ascii="Arial" w:eastAsia="Times New Roman" w:hAnsi="Arial" w:cs="Arial"/>
                <w:b/>
                <w:bCs/>
                <w:sz w:val="20"/>
                <w:szCs w:val="20"/>
              </w:rPr>
              <w:t>Tourism</w:t>
            </w:r>
          </w:p>
          <w:p w14:paraId="0AC194AF" w14:textId="77777777" w:rsidR="000B5960" w:rsidRPr="00540E3C" w:rsidRDefault="000B5960" w:rsidP="000B5960">
            <w:pPr>
              <w:rPr>
                <w:rFonts w:ascii="Arial" w:hAnsi="Arial" w:cs="Arial"/>
                <w:sz w:val="20"/>
                <w:szCs w:val="20"/>
              </w:rPr>
            </w:pPr>
            <w:r w:rsidRPr="00540E3C">
              <w:rPr>
                <w:rFonts w:ascii="Arial" w:hAnsi="Arial" w:cs="Arial"/>
                <w:sz w:val="20"/>
                <w:szCs w:val="20"/>
              </w:rPr>
              <w:t>No specific conditions apply.</w:t>
            </w:r>
          </w:p>
          <w:p w14:paraId="3F71AF2D" w14:textId="77777777" w:rsidR="000B5960" w:rsidRPr="0013766D" w:rsidRDefault="000B5960" w:rsidP="000B5960">
            <w:pPr>
              <w:rPr>
                <w:rFonts w:ascii="Arial" w:hAnsi="Arial" w:cs="Arial"/>
                <w:sz w:val="20"/>
                <w:szCs w:val="20"/>
              </w:rPr>
            </w:pPr>
          </w:p>
        </w:tc>
      </w:tr>
      <w:tr w:rsidR="000B5960" w:rsidRPr="002E2899" w14:paraId="640E4EC1" w14:textId="77777777" w:rsidTr="000B5960">
        <w:trPr>
          <w:trHeight w:val="144"/>
        </w:trPr>
        <w:tc>
          <w:tcPr>
            <w:tcW w:w="1437" w:type="dxa"/>
          </w:tcPr>
          <w:p w14:paraId="2AA1D1D1" w14:textId="77777777" w:rsidR="000B5960" w:rsidRPr="00C34715" w:rsidRDefault="000B5960" w:rsidP="000B5960">
            <w:pPr>
              <w:rPr>
                <w:rFonts w:ascii="Arial" w:hAnsi="Arial" w:cs="Arial"/>
                <w:b/>
                <w:bCs/>
                <w:sz w:val="20"/>
                <w:szCs w:val="20"/>
              </w:rPr>
            </w:pPr>
            <w:r w:rsidRPr="00FE4697">
              <w:rPr>
                <w:rFonts w:ascii="Arial" w:hAnsi="Arial" w:cs="Arial"/>
                <w:b/>
                <w:bCs/>
                <w:sz w:val="20"/>
                <w:szCs w:val="20"/>
              </w:rPr>
              <w:lastRenderedPageBreak/>
              <w:t>8.</w:t>
            </w:r>
          </w:p>
        </w:tc>
        <w:tc>
          <w:tcPr>
            <w:tcW w:w="2494" w:type="dxa"/>
          </w:tcPr>
          <w:p w14:paraId="1CFB03CA" w14:textId="77777777" w:rsidR="000B5960" w:rsidRPr="00C34715" w:rsidRDefault="000B5960" w:rsidP="000B5960">
            <w:pPr>
              <w:rPr>
                <w:rFonts w:ascii="Arial" w:hAnsi="Arial" w:cs="Arial"/>
                <w:b/>
                <w:bCs/>
                <w:sz w:val="20"/>
                <w:szCs w:val="20"/>
              </w:rPr>
            </w:pPr>
            <w:r w:rsidRPr="00FE4697">
              <w:rPr>
                <w:rFonts w:ascii="Arial" w:hAnsi="Arial" w:cs="Arial"/>
                <w:b/>
                <w:bCs/>
                <w:sz w:val="20"/>
                <w:szCs w:val="20"/>
              </w:rPr>
              <w:t>Targeted Geography</w:t>
            </w:r>
          </w:p>
        </w:tc>
        <w:tc>
          <w:tcPr>
            <w:tcW w:w="6417" w:type="dxa"/>
          </w:tcPr>
          <w:p w14:paraId="64CD0D16" w14:textId="77777777" w:rsidR="000B5960" w:rsidRPr="002E2899" w:rsidRDefault="00DA0614" w:rsidP="000B5960">
            <w:pPr>
              <w:autoSpaceDE w:val="0"/>
              <w:autoSpaceDN w:val="0"/>
              <w:adjustRightInd w:val="0"/>
              <w:rPr>
                <w:rFonts w:ascii="Arial" w:hAnsi="Arial" w:cs="Arial"/>
                <w:sz w:val="20"/>
                <w:szCs w:val="20"/>
              </w:rPr>
            </w:pPr>
            <w:sdt>
              <w:sdtPr>
                <w:rPr>
                  <w:rFonts w:ascii="Arial" w:hAnsi="Arial" w:cs="Arial"/>
                  <w:sz w:val="20"/>
                  <w:szCs w:val="20"/>
                </w:rPr>
                <w:id w:val="-1544201527"/>
                <w14:checkbox>
                  <w14:checked w14:val="1"/>
                  <w14:checkedState w14:val="2612" w14:font="MS Gothic"/>
                  <w14:uncheckedState w14:val="2610" w14:font="MS Gothic"/>
                </w14:checkbox>
              </w:sdtPr>
              <w:sdtEndPr/>
              <w:sdtContent>
                <w:r w:rsidR="000B5960" w:rsidRPr="002E2899">
                  <w:rPr>
                    <w:rFonts w:ascii="Segoe UI Symbol" w:eastAsia="MS Gothic" w:hAnsi="Segoe UI Symbol" w:cs="Segoe UI Symbol"/>
                    <w:sz w:val="20"/>
                    <w:szCs w:val="20"/>
                  </w:rPr>
                  <w:t>☒</w:t>
                </w:r>
              </w:sdtContent>
            </w:sdt>
            <w:r w:rsidR="000B5960" w:rsidRPr="002E2899">
              <w:rPr>
                <w:rFonts w:ascii="Arial" w:hAnsi="Arial" w:cs="Arial"/>
                <w:sz w:val="20"/>
                <w:szCs w:val="20"/>
              </w:rPr>
              <w:t xml:space="preserve">All EU MS </w:t>
            </w:r>
          </w:p>
          <w:p w14:paraId="297BE161" w14:textId="77777777" w:rsidR="000B5960" w:rsidRPr="002E2899" w:rsidRDefault="00DA0614" w:rsidP="000B5960">
            <w:pPr>
              <w:autoSpaceDE w:val="0"/>
              <w:autoSpaceDN w:val="0"/>
              <w:adjustRightInd w:val="0"/>
              <w:rPr>
                <w:rFonts w:ascii="Arial" w:hAnsi="Arial" w:cs="Arial"/>
                <w:sz w:val="20"/>
                <w:szCs w:val="20"/>
              </w:rPr>
            </w:pPr>
            <w:sdt>
              <w:sdtPr>
                <w:rPr>
                  <w:rFonts w:ascii="Arial" w:hAnsi="Arial" w:cs="Arial"/>
                  <w:sz w:val="20"/>
                  <w:szCs w:val="20"/>
                </w:rPr>
                <w:id w:val="1028909946"/>
                <w14:checkbox>
                  <w14:checked w14:val="0"/>
                  <w14:checkedState w14:val="2612" w14:font="MS Gothic"/>
                  <w14:uncheckedState w14:val="2610" w14:font="MS Gothic"/>
                </w14:checkbox>
              </w:sdtPr>
              <w:sdtEndPr/>
              <w:sdtContent>
                <w:r w:rsidR="000B5960" w:rsidRPr="002E2899">
                  <w:rPr>
                    <w:rFonts w:ascii="Segoe UI Symbol" w:eastAsia="MS Gothic" w:hAnsi="Segoe UI Symbol" w:cs="Segoe UI Symbol"/>
                    <w:sz w:val="20"/>
                    <w:szCs w:val="20"/>
                  </w:rPr>
                  <w:t>☐</w:t>
                </w:r>
              </w:sdtContent>
            </w:sdt>
            <w:r w:rsidR="000B5960" w:rsidRPr="002E2899">
              <w:rPr>
                <w:rFonts w:ascii="Arial" w:hAnsi="Arial" w:cs="Arial"/>
                <w:sz w:val="20"/>
                <w:szCs w:val="20"/>
              </w:rPr>
              <w:t xml:space="preserve">Selected MS </w:t>
            </w:r>
          </w:p>
          <w:p w14:paraId="10821EA8" w14:textId="77777777" w:rsidR="000B5960" w:rsidRDefault="00DA0614" w:rsidP="000B5960">
            <w:pPr>
              <w:autoSpaceDE w:val="0"/>
              <w:autoSpaceDN w:val="0"/>
              <w:adjustRightInd w:val="0"/>
              <w:rPr>
                <w:rFonts w:ascii="Arial" w:hAnsi="Arial" w:cs="Arial"/>
                <w:i/>
                <w:iCs/>
                <w:sz w:val="20"/>
                <w:szCs w:val="20"/>
              </w:rPr>
            </w:pPr>
            <w:sdt>
              <w:sdtPr>
                <w:rPr>
                  <w:rFonts w:ascii="Arial" w:hAnsi="Arial" w:cs="Arial"/>
                  <w:sz w:val="20"/>
                  <w:szCs w:val="20"/>
                </w:rPr>
                <w:id w:val="1456145544"/>
                <w14:checkbox>
                  <w14:checked w14:val="1"/>
                  <w14:checkedState w14:val="2612" w14:font="MS Gothic"/>
                  <w14:uncheckedState w14:val="2610" w14:font="MS Gothic"/>
                </w14:checkbox>
              </w:sdtPr>
              <w:sdtEndPr/>
              <w:sdtContent>
                <w:r w:rsidR="000B5960">
                  <w:rPr>
                    <w:rFonts w:ascii="MS Gothic" w:eastAsia="MS Gothic" w:hAnsi="MS Gothic" w:cs="Segoe UI Symbol" w:hint="eastAsia"/>
                    <w:sz w:val="20"/>
                    <w:szCs w:val="20"/>
                  </w:rPr>
                  <w:t>☒</w:t>
                </w:r>
              </w:sdtContent>
            </w:sdt>
            <w:r w:rsidR="000B5960" w:rsidRPr="002E2899">
              <w:rPr>
                <w:rFonts w:ascii="Arial" w:hAnsi="Arial" w:cs="Arial"/>
                <w:sz w:val="20"/>
                <w:szCs w:val="20"/>
              </w:rPr>
              <w:t xml:space="preserve">Other countries </w:t>
            </w:r>
            <w:r w:rsidR="000B5960">
              <w:rPr>
                <w:rFonts w:ascii="Arial" w:hAnsi="Arial" w:cs="Arial"/>
                <w:i/>
                <w:iCs/>
                <w:sz w:val="20"/>
                <w:szCs w:val="20"/>
              </w:rPr>
              <w:t>as specified in Article 11 of the InvestEU Regulation.</w:t>
            </w:r>
          </w:p>
          <w:p w14:paraId="6ADED364" w14:textId="77777777" w:rsidR="000B5960" w:rsidRDefault="000B5960" w:rsidP="000B5960">
            <w:pPr>
              <w:autoSpaceDE w:val="0"/>
              <w:autoSpaceDN w:val="0"/>
              <w:adjustRightInd w:val="0"/>
              <w:rPr>
                <w:rFonts w:ascii="Arial" w:hAnsi="Arial" w:cs="Arial"/>
                <w:i/>
                <w:sz w:val="20"/>
                <w:szCs w:val="20"/>
              </w:rPr>
            </w:pPr>
          </w:p>
          <w:p w14:paraId="0160A4A9" w14:textId="77777777" w:rsidR="000B5960" w:rsidRDefault="000B5960" w:rsidP="000B5960">
            <w:pPr>
              <w:autoSpaceDE w:val="0"/>
              <w:autoSpaceDN w:val="0"/>
              <w:adjustRightInd w:val="0"/>
              <w:rPr>
                <w:rFonts w:ascii="Arial" w:hAnsi="Arial" w:cs="Arial"/>
                <w:i/>
                <w:sz w:val="20"/>
                <w:szCs w:val="20"/>
              </w:rPr>
            </w:pPr>
            <w:r>
              <w:rPr>
                <w:rFonts w:ascii="Arial" w:hAnsi="Arial" w:cs="Arial"/>
                <w:sz w:val="20"/>
                <w:szCs w:val="20"/>
              </w:rPr>
              <w:t xml:space="preserve">The Implementing Partner shall propose which particular geography it would want to target to ensure complementarity with its existing product range and additionality under InvestEU. </w:t>
            </w:r>
          </w:p>
          <w:p w14:paraId="73998849" w14:textId="77777777" w:rsidR="000B5960" w:rsidRPr="008D577D" w:rsidRDefault="000B5960" w:rsidP="000B5960">
            <w:pPr>
              <w:autoSpaceDE w:val="0"/>
              <w:autoSpaceDN w:val="0"/>
              <w:adjustRightInd w:val="0"/>
              <w:rPr>
                <w:rFonts w:ascii="Arial" w:hAnsi="Arial" w:cs="Arial"/>
                <w:i/>
                <w:sz w:val="20"/>
                <w:szCs w:val="20"/>
              </w:rPr>
            </w:pPr>
          </w:p>
        </w:tc>
      </w:tr>
      <w:tr w:rsidR="000B5960" w:rsidRPr="002E2899" w14:paraId="3C9EC59B" w14:textId="77777777" w:rsidTr="000B5960">
        <w:trPr>
          <w:trHeight w:val="144"/>
        </w:trPr>
        <w:tc>
          <w:tcPr>
            <w:tcW w:w="1437" w:type="dxa"/>
          </w:tcPr>
          <w:p w14:paraId="13F03F9F" w14:textId="77777777" w:rsidR="000B5960" w:rsidRPr="00C34715" w:rsidRDefault="000B5960" w:rsidP="000B5960">
            <w:pPr>
              <w:rPr>
                <w:rFonts w:ascii="Arial" w:hAnsi="Arial" w:cs="Arial"/>
                <w:b/>
                <w:bCs/>
                <w:sz w:val="20"/>
                <w:szCs w:val="20"/>
              </w:rPr>
            </w:pPr>
            <w:r w:rsidRPr="00FE4697">
              <w:rPr>
                <w:rFonts w:ascii="Arial" w:hAnsi="Arial" w:cs="Arial"/>
                <w:b/>
                <w:bCs/>
                <w:sz w:val="20"/>
                <w:szCs w:val="20"/>
              </w:rPr>
              <w:t>9.</w:t>
            </w:r>
          </w:p>
        </w:tc>
        <w:tc>
          <w:tcPr>
            <w:tcW w:w="2494" w:type="dxa"/>
          </w:tcPr>
          <w:p w14:paraId="02C573C2" w14:textId="77777777" w:rsidR="000B5960" w:rsidRPr="00C34715" w:rsidRDefault="000B5960" w:rsidP="000B5960">
            <w:pPr>
              <w:rPr>
                <w:rFonts w:ascii="Arial" w:hAnsi="Arial" w:cs="Arial"/>
                <w:b/>
                <w:bCs/>
                <w:sz w:val="20"/>
                <w:szCs w:val="20"/>
              </w:rPr>
            </w:pPr>
            <w:r w:rsidRPr="00FE4697">
              <w:rPr>
                <w:rFonts w:ascii="Arial" w:hAnsi="Arial" w:cs="Arial"/>
                <w:b/>
                <w:bCs/>
                <w:sz w:val="20"/>
                <w:szCs w:val="20"/>
              </w:rPr>
              <w:t>Implementation period</w:t>
            </w:r>
          </w:p>
        </w:tc>
        <w:tc>
          <w:tcPr>
            <w:tcW w:w="6417" w:type="dxa"/>
          </w:tcPr>
          <w:p w14:paraId="6BF68768" w14:textId="77777777" w:rsidR="000B5960" w:rsidRPr="002E2899" w:rsidRDefault="000B5960" w:rsidP="000B5960">
            <w:pPr>
              <w:autoSpaceDE w:val="0"/>
              <w:autoSpaceDN w:val="0"/>
              <w:adjustRightInd w:val="0"/>
              <w:rPr>
                <w:rFonts w:ascii="Arial" w:hAnsi="Arial" w:cs="Arial"/>
                <w:sz w:val="20"/>
                <w:szCs w:val="20"/>
              </w:rPr>
            </w:pPr>
            <w:r w:rsidRPr="00A97233">
              <w:rPr>
                <w:rFonts w:ascii="Arial" w:hAnsi="Arial" w:cs="Arial"/>
                <w:sz w:val="20"/>
                <w:szCs w:val="20"/>
              </w:rPr>
              <w:t>In line with Article 10(2) of the InvestEU Regulation, implementation period of the financing or investment operations under the</w:t>
            </w:r>
            <w:r w:rsidRPr="002E2899">
              <w:rPr>
                <w:rFonts w:ascii="Arial" w:hAnsi="Arial" w:cs="Arial"/>
                <w:sz w:val="20"/>
                <w:szCs w:val="20"/>
              </w:rPr>
              <w:t xml:space="preserve"> </w:t>
            </w:r>
            <w:r>
              <w:rPr>
                <w:rFonts w:ascii="Arial" w:hAnsi="Arial" w:cs="Arial"/>
                <w:sz w:val="20"/>
                <w:szCs w:val="20"/>
              </w:rPr>
              <w:t xml:space="preserve">financial </w:t>
            </w:r>
            <w:r w:rsidRPr="002E2899">
              <w:rPr>
                <w:rFonts w:ascii="Arial" w:hAnsi="Arial" w:cs="Arial"/>
                <w:sz w:val="20"/>
                <w:szCs w:val="20"/>
              </w:rPr>
              <w:t>product:</w:t>
            </w:r>
          </w:p>
          <w:p w14:paraId="6BB587E2" w14:textId="77777777" w:rsidR="000B5960" w:rsidRPr="002E2899" w:rsidRDefault="000B5960" w:rsidP="000B5960">
            <w:pPr>
              <w:autoSpaceDE w:val="0"/>
              <w:autoSpaceDN w:val="0"/>
              <w:adjustRightInd w:val="0"/>
              <w:rPr>
                <w:rFonts w:ascii="Arial" w:hAnsi="Arial" w:cs="Arial"/>
                <w:sz w:val="20"/>
                <w:szCs w:val="20"/>
              </w:rPr>
            </w:pPr>
            <w:r w:rsidRPr="002E2899">
              <w:rPr>
                <w:rFonts w:ascii="Arial" w:hAnsi="Arial" w:cs="Arial"/>
                <w:sz w:val="20"/>
                <w:szCs w:val="20"/>
              </w:rPr>
              <w:t>Approval: until 31 December 2027</w:t>
            </w:r>
          </w:p>
          <w:p w14:paraId="2E2AD79F" w14:textId="77777777" w:rsidR="000B5960" w:rsidRPr="00C34715" w:rsidRDefault="000B5960" w:rsidP="000B5960">
            <w:pPr>
              <w:autoSpaceDE w:val="0"/>
              <w:autoSpaceDN w:val="0"/>
              <w:adjustRightInd w:val="0"/>
              <w:rPr>
                <w:rFonts w:ascii="Arial" w:hAnsi="Arial" w:cs="Arial"/>
                <w:i/>
                <w:iCs/>
                <w:sz w:val="20"/>
                <w:szCs w:val="20"/>
              </w:rPr>
            </w:pPr>
            <w:r w:rsidRPr="002E2899">
              <w:rPr>
                <w:rFonts w:ascii="Arial" w:hAnsi="Arial" w:cs="Arial"/>
                <w:sz w:val="20"/>
                <w:szCs w:val="20"/>
              </w:rPr>
              <w:t>Signature: until 31 December 2028</w:t>
            </w:r>
          </w:p>
        </w:tc>
      </w:tr>
      <w:tr w:rsidR="000B5960" w:rsidRPr="002E2899" w14:paraId="0F6B231E" w14:textId="77777777" w:rsidTr="000B5960">
        <w:trPr>
          <w:trHeight w:val="144"/>
        </w:trPr>
        <w:tc>
          <w:tcPr>
            <w:tcW w:w="1437" w:type="dxa"/>
          </w:tcPr>
          <w:p w14:paraId="320F92CB" w14:textId="77777777" w:rsidR="000B5960" w:rsidRPr="00C34715" w:rsidRDefault="000B5960" w:rsidP="000B5960">
            <w:pPr>
              <w:rPr>
                <w:rFonts w:ascii="Arial" w:hAnsi="Arial" w:cs="Arial"/>
                <w:b/>
                <w:bCs/>
                <w:sz w:val="20"/>
                <w:szCs w:val="20"/>
              </w:rPr>
            </w:pPr>
            <w:r>
              <w:rPr>
                <w:rFonts w:ascii="Arial" w:hAnsi="Arial" w:cs="Arial"/>
                <w:b/>
                <w:bCs/>
                <w:sz w:val="20"/>
                <w:szCs w:val="20"/>
              </w:rPr>
              <w:t>10.</w:t>
            </w:r>
          </w:p>
        </w:tc>
        <w:tc>
          <w:tcPr>
            <w:tcW w:w="2494" w:type="dxa"/>
          </w:tcPr>
          <w:p w14:paraId="1A7F342A" w14:textId="77777777" w:rsidR="000B5960" w:rsidRPr="00C34715" w:rsidRDefault="000B5960" w:rsidP="000B5960">
            <w:pPr>
              <w:rPr>
                <w:rFonts w:ascii="Arial" w:hAnsi="Arial" w:cs="Arial"/>
                <w:b/>
                <w:bCs/>
                <w:sz w:val="20"/>
                <w:szCs w:val="20"/>
              </w:rPr>
            </w:pPr>
            <w:r w:rsidRPr="00FE4697">
              <w:rPr>
                <w:rFonts w:ascii="Arial" w:hAnsi="Arial" w:cs="Arial"/>
                <w:b/>
                <w:bCs/>
                <w:sz w:val="20"/>
                <w:szCs w:val="20"/>
              </w:rPr>
              <w:t>Type of financing</w:t>
            </w:r>
          </w:p>
        </w:tc>
        <w:tc>
          <w:tcPr>
            <w:tcW w:w="6417" w:type="dxa"/>
          </w:tcPr>
          <w:p w14:paraId="1D00EE80" w14:textId="77777777" w:rsidR="000B5960" w:rsidRPr="002E2899" w:rsidRDefault="00DA0614" w:rsidP="000B5960">
            <w:pPr>
              <w:autoSpaceDE w:val="0"/>
              <w:autoSpaceDN w:val="0"/>
              <w:adjustRightInd w:val="0"/>
              <w:rPr>
                <w:rFonts w:ascii="Arial" w:hAnsi="Arial" w:cs="Arial"/>
                <w:sz w:val="20"/>
                <w:szCs w:val="20"/>
              </w:rPr>
            </w:pPr>
            <w:sdt>
              <w:sdtPr>
                <w:rPr>
                  <w:rFonts w:ascii="Arial" w:hAnsi="Arial" w:cs="Arial"/>
                  <w:sz w:val="20"/>
                  <w:szCs w:val="20"/>
                </w:rPr>
                <w:id w:val="-1214803119"/>
                <w14:checkbox>
                  <w14:checked w14:val="1"/>
                  <w14:checkedState w14:val="2612" w14:font="MS Gothic"/>
                  <w14:uncheckedState w14:val="2610" w14:font="MS Gothic"/>
                </w14:checkbox>
              </w:sdtPr>
              <w:sdtEndPr/>
              <w:sdtContent>
                <w:r w:rsidR="000B5960" w:rsidRPr="002E2899">
                  <w:rPr>
                    <w:rFonts w:ascii="Segoe UI Symbol" w:eastAsia="MS Gothic" w:hAnsi="Segoe UI Symbol" w:cs="Segoe UI Symbol"/>
                    <w:sz w:val="20"/>
                    <w:szCs w:val="20"/>
                  </w:rPr>
                  <w:t>☒</w:t>
                </w:r>
              </w:sdtContent>
            </w:sdt>
            <w:r w:rsidR="000B5960" w:rsidRPr="002E2899">
              <w:rPr>
                <w:rFonts w:ascii="Arial" w:hAnsi="Arial" w:cs="Arial"/>
                <w:sz w:val="20"/>
                <w:szCs w:val="20"/>
              </w:rPr>
              <w:t>Direct financing (</w:t>
            </w:r>
            <w:r w:rsidR="000B5960">
              <w:rPr>
                <w:rFonts w:ascii="Arial" w:hAnsi="Arial" w:cs="Arial"/>
                <w:i/>
                <w:sz w:val="20"/>
                <w:szCs w:val="20"/>
              </w:rPr>
              <w:t xml:space="preserve">including co-investments and guarantees to third party financiers in line with IGs section 2.3.1) </w:t>
            </w:r>
            <w:r w:rsidR="000B5960" w:rsidRPr="00FE4697">
              <w:rPr>
                <w:rFonts w:ascii="Arial" w:hAnsi="Arial" w:cs="Arial"/>
                <w:i/>
                <w:iCs/>
                <w:sz w:val="20"/>
                <w:szCs w:val="20"/>
              </w:rPr>
              <w:t xml:space="preserve">of Targeted Recipients </w:t>
            </w:r>
            <w:r w:rsidR="000B5960" w:rsidRPr="002E2899">
              <w:rPr>
                <w:rFonts w:ascii="Arial" w:hAnsi="Arial" w:cs="Arial"/>
                <w:sz w:val="20"/>
                <w:szCs w:val="20"/>
              </w:rPr>
              <w:t>by Implementing Partners</w:t>
            </w:r>
          </w:p>
          <w:p w14:paraId="47CA63AA" w14:textId="77777777" w:rsidR="000B5960" w:rsidRPr="002E2899" w:rsidRDefault="00DA0614" w:rsidP="000B5960">
            <w:pPr>
              <w:autoSpaceDE w:val="0"/>
              <w:autoSpaceDN w:val="0"/>
              <w:adjustRightInd w:val="0"/>
              <w:rPr>
                <w:rFonts w:ascii="Arial" w:hAnsi="Arial" w:cs="Arial"/>
                <w:sz w:val="20"/>
                <w:szCs w:val="20"/>
              </w:rPr>
            </w:pPr>
            <w:sdt>
              <w:sdtPr>
                <w:rPr>
                  <w:rFonts w:ascii="Arial" w:hAnsi="Arial" w:cs="Arial"/>
                  <w:sz w:val="20"/>
                  <w:szCs w:val="20"/>
                </w:rPr>
                <w:id w:val="-268234105"/>
                <w14:checkbox>
                  <w14:checked w14:val="0"/>
                  <w14:checkedState w14:val="2612" w14:font="MS Gothic"/>
                  <w14:uncheckedState w14:val="2610" w14:font="MS Gothic"/>
                </w14:checkbox>
              </w:sdtPr>
              <w:sdtEndPr/>
              <w:sdtContent>
                <w:r w:rsidR="000B5960">
                  <w:rPr>
                    <w:rFonts w:ascii="MS Gothic" w:eastAsia="MS Gothic" w:hAnsi="MS Gothic" w:cs="Arial" w:hint="eastAsia"/>
                    <w:sz w:val="20"/>
                    <w:szCs w:val="20"/>
                  </w:rPr>
                  <w:t>☐</w:t>
                </w:r>
              </w:sdtContent>
            </w:sdt>
            <w:r w:rsidR="000B5960" w:rsidRPr="002E2899">
              <w:rPr>
                <w:rFonts w:ascii="Arial" w:hAnsi="Arial" w:cs="Arial"/>
                <w:sz w:val="20"/>
                <w:szCs w:val="20"/>
              </w:rPr>
              <w:t>Intermediated financing through Financial Intermediaries-</w:t>
            </w:r>
          </w:p>
          <w:p w14:paraId="3A5E4F51" w14:textId="77777777" w:rsidR="000B5960" w:rsidRDefault="000B5960" w:rsidP="000B5960">
            <w:pPr>
              <w:rPr>
                <w:rFonts w:ascii="Arial" w:hAnsi="Arial" w:cs="Arial"/>
                <w:i/>
                <w:iCs/>
                <w:sz w:val="20"/>
                <w:szCs w:val="20"/>
              </w:rPr>
            </w:pPr>
          </w:p>
          <w:p w14:paraId="4F15B91B" w14:textId="77777777" w:rsidR="000B5960" w:rsidRPr="002E2899" w:rsidRDefault="000B5960" w:rsidP="000B5960">
            <w:pPr>
              <w:rPr>
                <w:rFonts w:ascii="Arial" w:hAnsi="Arial" w:cs="Arial"/>
                <w:sz w:val="20"/>
                <w:szCs w:val="20"/>
              </w:rPr>
            </w:pPr>
            <w:r w:rsidRPr="00585F89">
              <w:rPr>
                <w:rFonts w:ascii="Arial" w:hAnsi="Arial" w:cs="Arial"/>
                <w:i/>
                <w:iCs/>
                <w:sz w:val="20"/>
                <w:szCs w:val="20"/>
              </w:rPr>
              <w:t xml:space="preserve">The </w:t>
            </w:r>
            <w:r>
              <w:rPr>
                <w:rFonts w:ascii="Arial" w:hAnsi="Arial" w:cs="Arial"/>
                <w:i/>
                <w:iCs/>
                <w:sz w:val="20"/>
                <w:szCs w:val="20"/>
              </w:rPr>
              <w:t xml:space="preserve">financial </w:t>
            </w:r>
            <w:r w:rsidRPr="00585F89">
              <w:rPr>
                <w:rFonts w:ascii="Arial" w:hAnsi="Arial" w:cs="Arial"/>
                <w:i/>
                <w:iCs/>
                <w:sz w:val="20"/>
                <w:szCs w:val="20"/>
              </w:rPr>
              <w:t>product can also support issuance of Green Bonds for different relevant policy areas</w:t>
            </w:r>
          </w:p>
        </w:tc>
      </w:tr>
      <w:tr w:rsidR="000B5960" w:rsidRPr="002E2899" w14:paraId="733CEAEA" w14:textId="77777777" w:rsidTr="000B5960">
        <w:trPr>
          <w:trHeight w:val="144"/>
        </w:trPr>
        <w:tc>
          <w:tcPr>
            <w:tcW w:w="1437" w:type="dxa"/>
          </w:tcPr>
          <w:p w14:paraId="1C2EF55D" w14:textId="77777777" w:rsidR="000B5960" w:rsidRPr="00C34715" w:rsidRDefault="000B5960" w:rsidP="000B5960">
            <w:pPr>
              <w:rPr>
                <w:rFonts w:ascii="Arial" w:hAnsi="Arial" w:cs="Arial"/>
                <w:b/>
                <w:bCs/>
                <w:sz w:val="20"/>
                <w:szCs w:val="20"/>
              </w:rPr>
            </w:pPr>
            <w:r w:rsidRPr="00FE4697">
              <w:rPr>
                <w:rFonts w:ascii="Arial" w:hAnsi="Arial" w:cs="Arial"/>
                <w:b/>
                <w:bCs/>
                <w:sz w:val="20"/>
                <w:szCs w:val="20"/>
              </w:rPr>
              <w:t>10.a</w:t>
            </w:r>
          </w:p>
        </w:tc>
        <w:tc>
          <w:tcPr>
            <w:tcW w:w="2494" w:type="dxa"/>
          </w:tcPr>
          <w:p w14:paraId="5087C4DB" w14:textId="77777777" w:rsidR="000B5960" w:rsidRPr="00C34715" w:rsidRDefault="000B5960" w:rsidP="000B5960">
            <w:pPr>
              <w:rPr>
                <w:rFonts w:ascii="Arial" w:hAnsi="Arial" w:cs="Arial"/>
                <w:b/>
                <w:bCs/>
                <w:sz w:val="20"/>
                <w:szCs w:val="20"/>
              </w:rPr>
            </w:pPr>
            <w:r w:rsidRPr="00FE4697">
              <w:rPr>
                <w:rFonts w:ascii="Arial" w:hAnsi="Arial" w:cs="Arial"/>
                <w:b/>
                <w:bCs/>
                <w:sz w:val="20"/>
                <w:szCs w:val="20"/>
              </w:rPr>
              <w:t xml:space="preserve">Eligible Financial Intermediaries </w:t>
            </w:r>
            <w:r w:rsidRPr="00FE4697">
              <w:rPr>
                <w:rFonts w:ascii="Arial" w:hAnsi="Arial" w:cs="Arial"/>
                <w:i/>
                <w:iCs/>
                <w:sz w:val="20"/>
                <w:szCs w:val="20"/>
              </w:rPr>
              <w:t>(if applicable)</w:t>
            </w:r>
          </w:p>
        </w:tc>
        <w:tc>
          <w:tcPr>
            <w:tcW w:w="6417" w:type="dxa"/>
          </w:tcPr>
          <w:p w14:paraId="0397D7C2" w14:textId="77777777" w:rsidR="000B5960" w:rsidRPr="00A45B7C" w:rsidRDefault="000B5960" w:rsidP="000B5960">
            <w:pPr>
              <w:autoSpaceDE w:val="0"/>
              <w:autoSpaceDN w:val="0"/>
              <w:adjustRightInd w:val="0"/>
              <w:rPr>
                <w:rFonts w:ascii="Arial" w:hAnsi="Arial" w:cs="Arial"/>
                <w:iCs/>
                <w:sz w:val="20"/>
                <w:szCs w:val="20"/>
              </w:rPr>
            </w:pPr>
            <w:r w:rsidRPr="00A45B7C">
              <w:rPr>
                <w:rFonts w:ascii="Arial" w:hAnsi="Arial" w:cs="Arial"/>
                <w:iCs/>
                <w:sz w:val="20"/>
                <w:szCs w:val="20"/>
              </w:rPr>
              <w:t xml:space="preserve"> N/A</w:t>
            </w:r>
          </w:p>
        </w:tc>
      </w:tr>
      <w:tr w:rsidR="000B5960" w:rsidRPr="002E2899" w14:paraId="3FA2F1F4" w14:textId="77777777" w:rsidTr="000B5960">
        <w:trPr>
          <w:trHeight w:val="144"/>
        </w:trPr>
        <w:tc>
          <w:tcPr>
            <w:tcW w:w="1437" w:type="dxa"/>
          </w:tcPr>
          <w:p w14:paraId="030D111E" w14:textId="77777777" w:rsidR="000B5960" w:rsidRPr="00C34715" w:rsidRDefault="000B5960" w:rsidP="000B5960">
            <w:pPr>
              <w:rPr>
                <w:rFonts w:ascii="Arial" w:hAnsi="Arial" w:cs="Arial"/>
                <w:b/>
                <w:bCs/>
                <w:sz w:val="20"/>
                <w:szCs w:val="20"/>
              </w:rPr>
            </w:pPr>
            <w:r w:rsidRPr="00FE4697">
              <w:rPr>
                <w:rFonts w:ascii="Arial" w:hAnsi="Arial" w:cs="Arial"/>
                <w:b/>
                <w:bCs/>
                <w:sz w:val="20"/>
                <w:szCs w:val="20"/>
              </w:rPr>
              <w:t>10.b</w:t>
            </w:r>
          </w:p>
        </w:tc>
        <w:tc>
          <w:tcPr>
            <w:tcW w:w="2494" w:type="dxa"/>
          </w:tcPr>
          <w:p w14:paraId="275653FD" w14:textId="77777777" w:rsidR="000B5960" w:rsidRPr="00C34715" w:rsidRDefault="000B5960" w:rsidP="000B5960">
            <w:pPr>
              <w:rPr>
                <w:rFonts w:ascii="Arial" w:hAnsi="Arial" w:cs="Arial"/>
                <w:b/>
                <w:bCs/>
                <w:sz w:val="20"/>
                <w:szCs w:val="20"/>
              </w:rPr>
            </w:pPr>
            <w:r w:rsidRPr="00FE4697">
              <w:rPr>
                <w:rFonts w:ascii="Arial" w:hAnsi="Arial" w:cs="Arial"/>
                <w:b/>
                <w:bCs/>
                <w:sz w:val="20"/>
                <w:szCs w:val="20"/>
              </w:rPr>
              <w:t xml:space="preserve">Financial Intermediaries’ Financial Needs </w:t>
            </w:r>
            <w:r w:rsidRPr="00FE4697">
              <w:rPr>
                <w:rFonts w:ascii="Arial" w:hAnsi="Arial" w:cs="Arial"/>
                <w:i/>
                <w:iCs/>
                <w:sz w:val="20"/>
                <w:szCs w:val="20"/>
              </w:rPr>
              <w:t>(if applicable)</w:t>
            </w:r>
          </w:p>
        </w:tc>
        <w:tc>
          <w:tcPr>
            <w:tcW w:w="6417" w:type="dxa"/>
          </w:tcPr>
          <w:p w14:paraId="35E0CB35" w14:textId="77777777" w:rsidR="000B5960" w:rsidRPr="00C34715" w:rsidRDefault="000B5960" w:rsidP="000B5960">
            <w:pPr>
              <w:tabs>
                <w:tab w:val="left" w:pos="3330"/>
              </w:tabs>
              <w:autoSpaceDE w:val="0"/>
              <w:autoSpaceDN w:val="0"/>
              <w:adjustRightInd w:val="0"/>
              <w:rPr>
                <w:rFonts w:ascii="Arial" w:hAnsi="Arial" w:cs="Arial"/>
                <w:i/>
                <w:iCs/>
                <w:sz w:val="20"/>
                <w:szCs w:val="20"/>
              </w:rPr>
            </w:pPr>
            <w:r>
              <w:rPr>
                <w:rFonts w:ascii="Arial" w:hAnsi="Arial" w:cs="Arial"/>
                <w:sz w:val="20"/>
                <w:szCs w:val="20"/>
              </w:rPr>
              <w:t>N/A</w:t>
            </w:r>
          </w:p>
          <w:p w14:paraId="0BE086E0" w14:textId="77777777" w:rsidR="000B5960" w:rsidRPr="002E2899" w:rsidRDefault="000B5960" w:rsidP="000B5960">
            <w:pPr>
              <w:tabs>
                <w:tab w:val="left" w:pos="3330"/>
              </w:tabs>
              <w:autoSpaceDE w:val="0"/>
              <w:autoSpaceDN w:val="0"/>
              <w:adjustRightInd w:val="0"/>
              <w:rPr>
                <w:rFonts w:ascii="Arial" w:hAnsi="Arial" w:cs="Arial"/>
                <w:i/>
                <w:sz w:val="20"/>
                <w:szCs w:val="20"/>
              </w:rPr>
            </w:pPr>
          </w:p>
        </w:tc>
      </w:tr>
      <w:tr w:rsidR="000B5960" w:rsidRPr="002E2899" w14:paraId="76EFBDF2" w14:textId="77777777" w:rsidTr="000B5960">
        <w:trPr>
          <w:trHeight w:val="144"/>
        </w:trPr>
        <w:tc>
          <w:tcPr>
            <w:tcW w:w="1437" w:type="dxa"/>
          </w:tcPr>
          <w:p w14:paraId="6928E86B" w14:textId="77777777" w:rsidR="000B5960" w:rsidRPr="00C34715" w:rsidRDefault="000B5960" w:rsidP="000B5960">
            <w:pPr>
              <w:rPr>
                <w:rFonts w:ascii="Arial" w:hAnsi="Arial" w:cs="Arial"/>
                <w:b/>
                <w:bCs/>
                <w:sz w:val="20"/>
                <w:szCs w:val="20"/>
              </w:rPr>
            </w:pPr>
            <w:r w:rsidRPr="00FE4697">
              <w:rPr>
                <w:rFonts w:ascii="Arial" w:hAnsi="Arial" w:cs="Arial"/>
                <w:b/>
                <w:bCs/>
                <w:sz w:val="20"/>
                <w:szCs w:val="20"/>
              </w:rPr>
              <w:t>10.c</w:t>
            </w:r>
          </w:p>
        </w:tc>
        <w:tc>
          <w:tcPr>
            <w:tcW w:w="2494" w:type="dxa"/>
          </w:tcPr>
          <w:p w14:paraId="61693559" w14:textId="77777777" w:rsidR="000B5960" w:rsidRPr="00C34715" w:rsidRDefault="000B5960" w:rsidP="000B5960">
            <w:pPr>
              <w:rPr>
                <w:rFonts w:ascii="Arial" w:hAnsi="Arial" w:cs="Arial"/>
                <w:b/>
                <w:bCs/>
                <w:sz w:val="20"/>
                <w:szCs w:val="20"/>
              </w:rPr>
            </w:pPr>
            <w:r w:rsidRPr="00FE4697">
              <w:rPr>
                <w:rFonts w:ascii="Arial" w:hAnsi="Arial" w:cs="Arial"/>
                <w:b/>
                <w:bCs/>
                <w:sz w:val="20"/>
                <w:szCs w:val="20"/>
              </w:rPr>
              <w:t xml:space="preserve">Type of product provided by the Implementing Partner to the Financial Intermediary </w:t>
            </w:r>
            <w:r w:rsidRPr="00FE4697">
              <w:rPr>
                <w:rFonts w:ascii="Arial" w:hAnsi="Arial" w:cs="Arial"/>
                <w:i/>
                <w:iCs/>
                <w:sz w:val="20"/>
                <w:szCs w:val="20"/>
              </w:rPr>
              <w:t>(if applicable)</w:t>
            </w:r>
          </w:p>
        </w:tc>
        <w:tc>
          <w:tcPr>
            <w:tcW w:w="6417" w:type="dxa"/>
          </w:tcPr>
          <w:p w14:paraId="1C30876D" w14:textId="77777777" w:rsidR="000B5960" w:rsidRPr="00540E3C" w:rsidRDefault="000B5960" w:rsidP="000B5960">
            <w:pPr>
              <w:autoSpaceDE w:val="0"/>
              <w:autoSpaceDN w:val="0"/>
              <w:adjustRightInd w:val="0"/>
              <w:rPr>
                <w:rFonts w:ascii="Arial" w:hAnsi="Arial" w:cs="Arial"/>
                <w:i/>
                <w:iCs/>
                <w:sz w:val="20"/>
                <w:szCs w:val="20"/>
              </w:rPr>
            </w:pPr>
            <w:r>
              <w:rPr>
                <w:rFonts w:ascii="Arial" w:hAnsi="Arial" w:cs="Arial"/>
                <w:sz w:val="20"/>
                <w:szCs w:val="20"/>
              </w:rPr>
              <w:t>N/A</w:t>
            </w:r>
          </w:p>
          <w:p w14:paraId="0CC83040" w14:textId="77777777" w:rsidR="000B5960" w:rsidRPr="00540E3C" w:rsidRDefault="000B5960" w:rsidP="000B5960">
            <w:pPr>
              <w:tabs>
                <w:tab w:val="left" w:pos="3330"/>
              </w:tabs>
              <w:autoSpaceDE w:val="0"/>
              <w:autoSpaceDN w:val="0"/>
              <w:adjustRightInd w:val="0"/>
              <w:rPr>
                <w:rFonts w:ascii="Arial" w:hAnsi="Arial" w:cs="Arial"/>
                <w:sz w:val="20"/>
                <w:szCs w:val="20"/>
              </w:rPr>
            </w:pPr>
          </w:p>
        </w:tc>
      </w:tr>
      <w:tr w:rsidR="000B5960" w:rsidRPr="002E2899" w14:paraId="5751F861" w14:textId="77777777" w:rsidTr="000B5960">
        <w:trPr>
          <w:trHeight w:val="144"/>
        </w:trPr>
        <w:tc>
          <w:tcPr>
            <w:tcW w:w="1437" w:type="dxa"/>
          </w:tcPr>
          <w:p w14:paraId="6656DDAE" w14:textId="77777777" w:rsidR="000B5960" w:rsidRPr="00FE4697" w:rsidRDefault="000B5960" w:rsidP="000B5960">
            <w:pPr>
              <w:rPr>
                <w:rFonts w:ascii="Arial" w:hAnsi="Arial" w:cs="Arial"/>
                <w:b/>
                <w:bCs/>
                <w:sz w:val="20"/>
                <w:szCs w:val="20"/>
              </w:rPr>
            </w:pPr>
            <w:r>
              <w:rPr>
                <w:rFonts w:ascii="Arial" w:hAnsi="Arial" w:cs="Arial"/>
                <w:b/>
                <w:bCs/>
                <w:sz w:val="20"/>
                <w:szCs w:val="20"/>
              </w:rPr>
              <w:t>10.d</w:t>
            </w:r>
          </w:p>
        </w:tc>
        <w:tc>
          <w:tcPr>
            <w:tcW w:w="2494" w:type="dxa"/>
          </w:tcPr>
          <w:p w14:paraId="2D83444A" w14:textId="77777777" w:rsidR="000B5960" w:rsidRDefault="000B5960" w:rsidP="000B5960">
            <w:pPr>
              <w:rPr>
                <w:rFonts w:ascii="Arial" w:hAnsi="Arial"/>
                <w:b/>
                <w:sz w:val="20"/>
                <w:szCs w:val="20"/>
              </w:rPr>
            </w:pPr>
            <w:r>
              <w:rPr>
                <w:rFonts w:ascii="Arial" w:hAnsi="Arial"/>
                <w:b/>
                <w:sz w:val="20"/>
                <w:szCs w:val="20"/>
              </w:rPr>
              <w:t>Type of product Provided by the Financial Intermediary to the Final Recipient</w:t>
            </w:r>
          </w:p>
          <w:p w14:paraId="1FDF89D3" w14:textId="77777777" w:rsidR="000B5960" w:rsidRPr="00FE4697" w:rsidRDefault="000B5960" w:rsidP="000B5960">
            <w:pPr>
              <w:rPr>
                <w:rFonts w:ascii="Arial" w:hAnsi="Arial" w:cs="Arial"/>
                <w:b/>
                <w:bCs/>
                <w:sz w:val="20"/>
                <w:szCs w:val="20"/>
              </w:rPr>
            </w:pPr>
            <w:r>
              <w:rPr>
                <w:rFonts w:ascii="Arial" w:hAnsi="Arial"/>
                <w:i/>
                <w:sz w:val="20"/>
                <w:szCs w:val="20"/>
              </w:rPr>
              <w:t>(if applicable)</w:t>
            </w:r>
          </w:p>
        </w:tc>
        <w:tc>
          <w:tcPr>
            <w:tcW w:w="6417" w:type="dxa"/>
          </w:tcPr>
          <w:p w14:paraId="5DB72D4E" w14:textId="77777777" w:rsidR="000B5960" w:rsidRDefault="000B5960" w:rsidP="000B5960">
            <w:pPr>
              <w:autoSpaceDE w:val="0"/>
              <w:autoSpaceDN w:val="0"/>
              <w:adjustRightInd w:val="0"/>
              <w:rPr>
                <w:rFonts w:ascii="Arial" w:hAnsi="Arial" w:cs="Arial"/>
                <w:sz w:val="20"/>
                <w:szCs w:val="20"/>
              </w:rPr>
            </w:pPr>
            <w:r>
              <w:rPr>
                <w:rFonts w:ascii="Arial" w:hAnsi="Arial" w:cs="Arial"/>
                <w:sz w:val="20"/>
                <w:szCs w:val="20"/>
              </w:rPr>
              <w:t>N/A</w:t>
            </w:r>
          </w:p>
        </w:tc>
      </w:tr>
      <w:tr w:rsidR="000B5960" w:rsidRPr="002E2899" w14:paraId="3DA70431" w14:textId="77777777" w:rsidTr="000B5960">
        <w:trPr>
          <w:trHeight w:val="144"/>
        </w:trPr>
        <w:tc>
          <w:tcPr>
            <w:tcW w:w="1437" w:type="dxa"/>
          </w:tcPr>
          <w:p w14:paraId="7EB2826B" w14:textId="77777777" w:rsidR="000B5960" w:rsidRPr="00C34715" w:rsidRDefault="000B5960" w:rsidP="000B5960">
            <w:pPr>
              <w:rPr>
                <w:rFonts w:ascii="Arial" w:hAnsi="Arial" w:cs="Arial"/>
                <w:b/>
                <w:bCs/>
                <w:sz w:val="20"/>
                <w:szCs w:val="20"/>
              </w:rPr>
            </w:pPr>
            <w:r w:rsidRPr="00FE4697">
              <w:rPr>
                <w:rFonts w:ascii="Arial" w:hAnsi="Arial" w:cs="Arial"/>
                <w:b/>
                <w:bCs/>
                <w:sz w:val="20"/>
                <w:szCs w:val="20"/>
              </w:rPr>
              <w:t>11.</w:t>
            </w:r>
          </w:p>
        </w:tc>
        <w:tc>
          <w:tcPr>
            <w:tcW w:w="2494" w:type="dxa"/>
          </w:tcPr>
          <w:p w14:paraId="21423344" w14:textId="77777777" w:rsidR="000B5960" w:rsidRPr="00C34715" w:rsidRDefault="000B5960" w:rsidP="000B5960">
            <w:pPr>
              <w:rPr>
                <w:rFonts w:ascii="Arial" w:hAnsi="Arial" w:cs="Arial"/>
                <w:b/>
                <w:bCs/>
                <w:sz w:val="20"/>
                <w:szCs w:val="20"/>
              </w:rPr>
            </w:pPr>
            <w:r w:rsidRPr="00FE4697">
              <w:rPr>
                <w:rFonts w:ascii="Arial" w:hAnsi="Arial" w:cs="Arial"/>
                <w:b/>
                <w:bCs/>
                <w:sz w:val="20"/>
                <w:szCs w:val="20"/>
              </w:rPr>
              <w:t>Product Provided to the Final Recipient</w:t>
            </w:r>
          </w:p>
        </w:tc>
        <w:tc>
          <w:tcPr>
            <w:tcW w:w="6417" w:type="dxa"/>
          </w:tcPr>
          <w:p w14:paraId="03B57CDE" w14:textId="77777777" w:rsidR="000B5960" w:rsidRPr="00C34715" w:rsidRDefault="00DA0614" w:rsidP="000B5960">
            <w:pPr>
              <w:tabs>
                <w:tab w:val="left" w:pos="3330"/>
              </w:tabs>
              <w:autoSpaceDE w:val="0"/>
              <w:autoSpaceDN w:val="0"/>
              <w:adjustRightInd w:val="0"/>
              <w:rPr>
                <w:rFonts w:ascii="Arial" w:hAnsi="Arial" w:cs="Arial"/>
                <w:i/>
                <w:iCs/>
                <w:sz w:val="20"/>
                <w:szCs w:val="20"/>
              </w:rPr>
            </w:pPr>
            <w:sdt>
              <w:sdtPr>
                <w:rPr>
                  <w:rFonts w:ascii="Arial" w:hAnsi="Arial" w:cs="Arial"/>
                  <w:sz w:val="20"/>
                  <w:szCs w:val="20"/>
                </w:rPr>
                <w:id w:val="-1470897318"/>
                <w14:checkbox>
                  <w14:checked w14:val="1"/>
                  <w14:checkedState w14:val="2612" w14:font="MS Gothic"/>
                  <w14:uncheckedState w14:val="2610" w14:font="MS Gothic"/>
                </w14:checkbox>
              </w:sdtPr>
              <w:sdtEndPr/>
              <w:sdtContent>
                <w:r w:rsidR="000B5960" w:rsidRPr="002E2899">
                  <w:rPr>
                    <w:rFonts w:ascii="Segoe UI Symbol" w:eastAsia="MS Gothic" w:hAnsi="Segoe UI Symbol" w:cs="Segoe UI Symbol"/>
                    <w:sz w:val="20"/>
                    <w:szCs w:val="20"/>
                  </w:rPr>
                  <w:t>☒</w:t>
                </w:r>
              </w:sdtContent>
            </w:sdt>
            <w:r w:rsidR="000B5960" w:rsidRPr="002E2899">
              <w:rPr>
                <w:rFonts w:ascii="Arial" w:hAnsi="Arial" w:cs="Arial"/>
                <w:sz w:val="20"/>
                <w:szCs w:val="20"/>
              </w:rPr>
              <w:t>Loan</w:t>
            </w:r>
          </w:p>
          <w:p w14:paraId="6483F6DC" w14:textId="77777777" w:rsidR="000B5960" w:rsidRPr="002E2899" w:rsidRDefault="00DA0614" w:rsidP="000B5960">
            <w:pPr>
              <w:autoSpaceDE w:val="0"/>
              <w:autoSpaceDN w:val="0"/>
              <w:adjustRightInd w:val="0"/>
              <w:rPr>
                <w:rFonts w:ascii="Arial" w:hAnsi="Arial" w:cs="Arial"/>
                <w:sz w:val="20"/>
                <w:szCs w:val="20"/>
              </w:rPr>
            </w:pPr>
            <w:sdt>
              <w:sdtPr>
                <w:rPr>
                  <w:rFonts w:ascii="Arial" w:hAnsi="Arial" w:cs="Arial"/>
                  <w:sz w:val="20"/>
                  <w:szCs w:val="20"/>
                </w:rPr>
                <w:id w:val="1392765383"/>
                <w14:checkbox>
                  <w14:checked w14:val="1"/>
                  <w14:checkedState w14:val="2612" w14:font="MS Gothic"/>
                  <w14:uncheckedState w14:val="2610" w14:font="MS Gothic"/>
                </w14:checkbox>
              </w:sdtPr>
              <w:sdtEndPr/>
              <w:sdtContent>
                <w:r w:rsidR="000B5960" w:rsidRPr="002E2899">
                  <w:rPr>
                    <w:rFonts w:ascii="Segoe UI Symbol" w:eastAsia="MS Gothic" w:hAnsi="Segoe UI Symbol" w:cs="Segoe UI Symbol"/>
                    <w:sz w:val="20"/>
                    <w:szCs w:val="20"/>
                  </w:rPr>
                  <w:t>☒</w:t>
                </w:r>
              </w:sdtContent>
            </w:sdt>
            <w:r w:rsidR="000B5960" w:rsidRPr="002E2899">
              <w:rPr>
                <w:rFonts w:ascii="Arial" w:hAnsi="Arial" w:cs="Arial"/>
                <w:sz w:val="20"/>
                <w:szCs w:val="20"/>
              </w:rPr>
              <w:t>Guarantee</w:t>
            </w:r>
          </w:p>
          <w:p w14:paraId="35A24830" w14:textId="77777777" w:rsidR="000B5960" w:rsidRPr="002E2899" w:rsidRDefault="00DA0614" w:rsidP="000B5960">
            <w:pPr>
              <w:autoSpaceDE w:val="0"/>
              <w:autoSpaceDN w:val="0"/>
              <w:adjustRightInd w:val="0"/>
              <w:rPr>
                <w:rFonts w:ascii="Arial" w:hAnsi="Arial" w:cs="Arial"/>
                <w:sz w:val="20"/>
                <w:szCs w:val="20"/>
              </w:rPr>
            </w:pPr>
            <w:sdt>
              <w:sdtPr>
                <w:rPr>
                  <w:rFonts w:ascii="Arial" w:hAnsi="Arial" w:cs="Arial"/>
                  <w:sz w:val="20"/>
                  <w:szCs w:val="20"/>
                </w:rPr>
                <w:id w:val="1465152861"/>
                <w14:checkbox>
                  <w14:checked w14:val="0"/>
                  <w14:checkedState w14:val="2612" w14:font="MS Gothic"/>
                  <w14:uncheckedState w14:val="2610" w14:font="MS Gothic"/>
                </w14:checkbox>
              </w:sdtPr>
              <w:sdtEndPr/>
              <w:sdtContent>
                <w:r w:rsidR="000B5960" w:rsidRPr="002E2899">
                  <w:rPr>
                    <w:rFonts w:ascii="Segoe UI Symbol" w:eastAsia="MS Gothic" w:hAnsi="Segoe UI Symbol" w:cs="Segoe UI Symbol"/>
                    <w:sz w:val="20"/>
                    <w:szCs w:val="20"/>
                  </w:rPr>
                  <w:t>☐</w:t>
                </w:r>
              </w:sdtContent>
            </w:sdt>
            <w:r w:rsidR="000B5960" w:rsidRPr="002E2899">
              <w:rPr>
                <w:rFonts w:ascii="Arial" w:hAnsi="Arial" w:cs="Arial"/>
                <w:sz w:val="20"/>
                <w:szCs w:val="20"/>
              </w:rPr>
              <w:t>Equity</w:t>
            </w:r>
          </w:p>
          <w:p w14:paraId="2DB8335A" w14:textId="77777777" w:rsidR="000B5960" w:rsidRDefault="00DA0614" w:rsidP="000B5960">
            <w:pPr>
              <w:pStyle w:val="ListParagraph"/>
              <w:autoSpaceDE w:val="0"/>
              <w:autoSpaceDN w:val="0"/>
              <w:adjustRightInd w:val="0"/>
              <w:ind w:left="0"/>
              <w:rPr>
                <w:rFonts w:ascii="Arial" w:hAnsi="Arial" w:cs="Arial"/>
                <w:i/>
                <w:sz w:val="20"/>
                <w:szCs w:val="20"/>
              </w:rPr>
            </w:pPr>
            <w:sdt>
              <w:sdtPr>
                <w:rPr>
                  <w:rFonts w:ascii="Arial" w:hAnsi="Arial" w:cs="Arial"/>
                  <w:sz w:val="20"/>
                  <w:szCs w:val="20"/>
                </w:rPr>
                <w:id w:val="-31662493"/>
                <w14:checkbox>
                  <w14:checked w14:val="1"/>
                  <w14:checkedState w14:val="2612" w14:font="MS Gothic"/>
                  <w14:uncheckedState w14:val="2610" w14:font="MS Gothic"/>
                </w14:checkbox>
              </w:sdtPr>
              <w:sdtEndPr/>
              <w:sdtContent>
                <w:r w:rsidR="000B5960" w:rsidRPr="002E2899">
                  <w:rPr>
                    <w:rFonts w:ascii="Segoe UI Symbol" w:eastAsia="MS Gothic" w:hAnsi="Segoe UI Symbol" w:cs="Segoe UI Symbol"/>
                    <w:sz w:val="20"/>
                    <w:szCs w:val="20"/>
                  </w:rPr>
                  <w:t>☒</w:t>
                </w:r>
              </w:sdtContent>
            </w:sdt>
            <w:r w:rsidR="000B5960" w:rsidRPr="002E2899">
              <w:rPr>
                <w:rFonts w:ascii="Arial" w:hAnsi="Arial" w:cs="Arial"/>
                <w:sz w:val="20"/>
                <w:szCs w:val="20"/>
              </w:rPr>
              <w:t xml:space="preserve">Other </w:t>
            </w:r>
            <w:r w:rsidR="000B5960" w:rsidRPr="00FE4697">
              <w:rPr>
                <w:rFonts w:ascii="Arial" w:hAnsi="Arial" w:cs="Arial"/>
                <w:i/>
                <w:iCs/>
                <w:sz w:val="20"/>
                <w:szCs w:val="20"/>
              </w:rPr>
              <w:t xml:space="preserve">(please specify): </w:t>
            </w:r>
            <w:r w:rsidR="000B5960" w:rsidRPr="002E2899">
              <w:rPr>
                <w:rFonts w:ascii="Arial" w:hAnsi="Arial" w:cs="Arial"/>
                <w:sz w:val="20"/>
                <w:szCs w:val="20"/>
              </w:rPr>
              <w:t xml:space="preserve"> </w:t>
            </w:r>
            <w:r w:rsidR="000B5960" w:rsidRPr="00FE4697">
              <w:rPr>
                <w:rFonts w:ascii="Arial" w:hAnsi="Arial" w:cs="Arial"/>
                <w:i/>
                <w:iCs/>
                <w:sz w:val="20"/>
                <w:szCs w:val="20"/>
              </w:rPr>
              <w:t xml:space="preserve">debt financing which term may include loans, guarantees, letters of credit, securities (listed or unlisted) and standby credit facilities, in each case with or without warrants or other rights </w:t>
            </w:r>
            <w:r w:rsidR="000B5960" w:rsidRPr="00FE4697">
              <w:rPr>
                <w:rFonts w:ascii="Arial" w:hAnsi="Arial" w:cs="Arial"/>
                <w:i/>
                <w:iCs/>
                <w:sz w:val="20"/>
                <w:szCs w:val="20"/>
              </w:rPr>
              <w:lastRenderedPageBreak/>
              <w:t>attached; which may be senior, mezzanine or subordinated as further specified in the guarantee agreement</w:t>
            </w:r>
            <w:r w:rsidR="000B5960">
              <w:rPr>
                <w:rFonts w:ascii="Arial" w:hAnsi="Arial" w:cs="Arial"/>
                <w:i/>
                <w:sz w:val="20"/>
                <w:szCs w:val="20"/>
              </w:rPr>
              <w:t>,</w:t>
            </w:r>
          </w:p>
          <w:p w14:paraId="0E96DC57" w14:textId="77777777" w:rsidR="000B5960" w:rsidRDefault="000B5960" w:rsidP="000B5960">
            <w:pPr>
              <w:pStyle w:val="ListParagraph"/>
              <w:autoSpaceDE w:val="0"/>
              <w:autoSpaceDN w:val="0"/>
              <w:adjustRightInd w:val="0"/>
              <w:ind w:left="0"/>
              <w:rPr>
                <w:rFonts w:ascii="Arial" w:hAnsi="Arial" w:cs="Arial"/>
                <w:i/>
                <w:sz w:val="20"/>
                <w:szCs w:val="20"/>
              </w:rPr>
            </w:pPr>
          </w:p>
          <w:p w14:paraId="4C8FA483" w14:textId="77777777" w:rsidR="000B5960" w:rsidRPr="00C34715" w:rsidRDefault="000B5960" w:rsidP="000B5960">
            <w:pPr>
              <w:pStyle w:val="ListParagraph"/>
              <w:autoSpaceDE w:val="0"/>
              <w:autoSpaceDN w:val="0"/>
              <w:adjustRightInd w:val="0"/>
              <w:ind w:left="0"/>
              <w:rPr>
                <w:rFonts w:ascii="Arial" w:hAnsi="Arial" w:cs="Arial"/>
                <w:i/>
                <w:iCs/>
                <w:sz w:val="20"/>
                <w:szCs w:val="20"/>
              </w:rPr>
            </w:pPr>
            <w:r w:rsidRPr="0010342C">
              <w:rPr>
                <w:rFonts w:ascii="Arial" w:hAnsi="Arial" w:cs="Arial"/>
                <w:iCs/>
                <w:sz w:val="20"/>
                <w:szCs w:val="20"/>
              </w:rPr>
              <w:t>In specific cases, if justified by the type of financing provided by the Implementing Partner, the operation covered by the EU Guarantee could be limited to cover a specific phase of the project (e.g. construction risk, uptake risk).</w:t>
            </w:r>
          </w:p>
        </w:tc>
      </w:tr>
      <w:tr w:rsidR="000B5960" w:rsidRPr="002E2899" w14:paraId="153BF336" w14:textId="77777777" w:rsidTr="000B5960">
        <w:trPr>
          <w:trHeight w:val="144"/>
        </w:trPr>
        <w:tc>
          <w:tcPr>
            <w:tcW w:w="1437" w:type="dxa"/>
          </w:tcPr>
          <w:p w14:paraId="4B589408" w14:textId="77777777" w:rsidR="000B5960" w:rsidRPr="00C34715" w:rsidRDefault="000B5960" w:rsidP="000B5960">
            <w:pPr>
              <w:rPr>
                <w:rFonts w:ascii="Arial" w:hAnsi="Arial" w:cs="Arial"/>
                <w:b/>
                <w:bCs/>
                <w:sz w:val="20"/>
                <w:szCs w:val="20"/>
              </w:rPr>
            </w:pPr>
            <w:r w:rsidRPr="00FE4697">
              <w:rPr>
                <w:rFonts w:ascii="Arial" w:hAnsi="Arial" w:cs="Arial"/>
                <w:b/>
                <w:bCs/>
                <w:sz w:val="20"/>
                <w:szCs w:val="20"/>
              </w:rPr>
              <w:lastRenderedPageBreak/>
              <w:t>12.</w:t>
            </w:r>
          </w:p>
        </w:tc>
        <w:tc>
          <w:tcPr>
            <w:tcW w:w="2494" w:type="dxa"/>
          </w:tcPr>
          <w:p w14:paraId="2033D4A5" w14:textId="77777777" w:rsidR="000B5960" w:rsidRPr="00C34715" w:rsidRDefault="000B5960" w:rsidP="000B5960">
            <w:pPr>
              <w:rPr>
                <w:rFonts w:ascii="Arial" w:hAnsi="Arial" w:cs="Arial"/>
                <w:b/>
                <w:bCs/>
                <w:sz w:val="20"/>
                <w:szCs w:val="20"/>
              </w:rPr>
            </w:pPr>
            <w:r w:rsidRPr="00FE4697">
              <w:rPr>
                <w:rFonts w:ascii="Arial" w:hAnsi="Arial" w:cs="Arial"/>
                <w:b/>
                <w:bCs/>
                <w:sz w:val="20"/>
                <w:szCs w:val="20"/>
              </w:rPr>
              <w:t>Amounts / maturity per final recipients</w:t>
            </w:r>
          </w:p>
        </w:tc>
        <w:tc>
          <w:tcPr>
            <w:tcW w:w="6417" w:type="dxa"/>
          </w:tcPr>
          <w:p w14:paraId="7F717A54" w14:textId="77777777" w:rsidR="000B5960" w:rsidRPr="002E2899" w:rsidRDefault="000B5960" w:rsidP="000B5960">
            <w:pPr>
              <w:rPr>
                <w:rFonts w:ascii="Arial" w:hAnsi="Arial" w:cs="Arial"/>
                <w:sz w:val="20"/>
                <w:szCs w:val="20"/>
              </w:rPr>
            </w:pPr>
            <w:r w:rsidRPr="002E2899">
              <w:rPr>
                <w:rFonts w:ascii="Arial" w:hAnsi="Arial" w:cs="Arial"/>
                <w:sz w:val="20"/>
                <w:szCs w:val="20"/>
              </w:rPr>
              <w:t xml:space="preserve">Minimum amount per financing or investment operation supported by InvestEU shall be [€5m]. </w:t>
            </w:r>
          </w:p>
          <w:p w14:paraId="3F6EF827" w14:textId="77777777" w:rsidR="000B5960" w:rsidRPr="002E2899" w:rsidRDefault="000B5960" w:rsidP="000B5960">
            <w:pPr>
              <w:rPr>
                <w:rFonts w:ascii="Arial" w:hAnsi="Arial" w:cs="Arial"/>
                <w:sz w:val="20"/>
                <w:szCs w:val="20"/>
              </w:rPr>
            </w:pPr>
          </w:p>
          <w:p w14:paraId="1F32D1F4" w14:textId="77777777" w:rsidR="000B5960" w:rsidRPr="002E2899" w:rsidRDefault="000B5960" w:rsidP="000B5960">
            <w:pPr>
              <w:rPr>
                <w:rFonts w:ascii="Arial" w:hAnsi="Arial" w:cs="Arial"/>
                <w:sz w:val="20"/>
                <w:szCs w:val="20"/>
              </w:rPr>
            </w:pPr>
            <w:r w:rsidRPr="002E2899">
              <w:rPr>
                <w:rFonts w:ascii="Arial" w:hAnsi="Arial" w:cs="Arial"/>
                <w:sz w:val="20"/>
                <w:szCs w:val="20"/>
              </w:rPr>
              <w:t xml:space="preserve">Support shall be provided for long-term financing, with a tenor typically ranging initially from [5 to 25] years. Shorter or longer maturities can only be supported if duly justified by the nature of the project or relevant market failures. </w:t>
            </w:r>
          </w:p>
          <w:p w14:paraId="7BAD32B0" w14:textId="77777777" w:rsidR="000B5960" w:rsidRPr="002E2899" w:rsidRDefault="000B5960" w:rsidP="000B5960">
            <w:pPr>
              <w:rPr>
                <w:rFonts w:ascii="Arial" w:hAnsi="Arial" w:cs="Arial"/>
                <w:sz w:val="20"/>
                <w:szCs w:val="20"/>
              </w:rPr>
            </w:pPr>
          </w:p>
          <w:p w14:paraId="3E7E7ADB" w14:textId="77777777" w:rsidR="000B5960" w:rsidRPr="0010342C" w:rsidRDefault="000B5960" w:rsidP="000B5960">
            <w:pPr>
              <w:rPr>
                <w:rFonts w:ascii="Arial" w:hAnsi="Arial" w:cs="Arial"/>
                <w:iCs/>
                <w:sz w:val="20"/>
                <w:szCs w:val="20"/>
              </w:rPr>
            </w:pPr>
          </w:p>
        </w:tc>
      </w:tr>
      <w:tr w:rsidR="000B5960" w:rsidRPr="002E2899" w14:paraId="387E5207" w14:textId="77777777" w:rsidTr="000B5960">
        <w:trPr>
          <w:trHeight w:val="144"/>
        </w:trPr>
        <w:tc>
          <w:tcPr>
            <w:tcW w:w="1437" w:type="dxa"/>
          </w:tcPr>
          <w:p w14:paraId="37EE1551" w14:textId="77777777" w:rsidR="000B5960" w:rsidRPr="00C34715" w:rsidRDefault="000B5960" w:rsidP="000B5960">
            <w:pPr>
              <w:rPr>
                <w:rFonts w:ascii="Arial" w:hAnsi="Arial" w:cs="Arial"/>
                <w:b/>
                <w:bCs/>
                <w:sz w:val="20"/>
                <w:szCs w:val="20"/>
              </w:rPr>
            </w:pPr>
            <w:r w:rsidRPr="00FE4697">
              <w:rPr>
                <w:rFonts w:ascii="Arial" w:hAnsi="Arial" w:cs="Arial"/>
                <w:b/>
                <w:bCs/>
                <w:sz w:val="20"/>
                <w:szCs w:val="20"/>
              </w:rPr>
              <w:t>13.</w:t>
            </w:r>
          </w:p>
        </w:tc>
        <w:tc>
          <w:tcPr>
            <w:tcW w:w="2494" w:type="dxa"/>
          </w:tcPr>
          <w:p w14:paraId="43B48ED4" w14:textId="77777777" w:rsidR="000B5960" w:rsidRPr="00C34715" w:rsidRDefault="000B5960" w:rsidP="000B5960">
            <w:pPr>
              <w:rPr>
                <w:rFonts w:ascii="Arial" w:hAnsi="Arial" w:cs="Arial"/>
                <w:b/>
                <w:bCs/>
                <w:sz w:val="20"/>
                <w:szCs w:val="20"/>
              </w:rPr>
            </w:pPr>
            <w:r w:rsidRPr="00FE4697">
              <w:rPr>
                <w:rFonts w:ascii="Arial" w:hAnsi="Arial" w:cs="Arial"/>
                <w:b/>
                <w:bCs/>
                <w:sz w:val="20"/>
                <w:szCs w:val="20"/>
              </w:rPr>
              <w:t>Blending</w:t>
            </w:r>
          </w:p>
        </w:tc>
        <w:tc>
          <w:tcPr>
            <w:tcW w:w="6417" w:type="dxa"/>
          </w:tcPr>
          <w:p w14:paraId="00D84305" w14:textId="77777777" w:rsidR="000B5960" w:rsidRPr="00C34715" w:rsidRDefault="00DA0614" w:rsidP="000B5960">
            <w:pPr>
              <w:tabs>
                <w:tab w:val="left" w:pos="3330"/>
              </w:tabs>
              <w:autoSpaceDE w:val="0"/>
              <w:autoSpaceDN w:val="0"/>
              <w:adjustRightInd w:val="0"/>
              <w:rPr>
                <w:rFonts w:ascii="Arial" w:hAnsi="Arial" w:cs="Arial"/>
                <w:i/>
                <w:iCs/>
                <w:sz w:val="20"/>
                <w:szCs w:val="20"/>
              </w:rPr>
            </w:pPr>
            <w:sdt>
              <w:sdtPr>
                <w:rPr>
                  <w:rFonts w:ascii="Arial" w:hAnsi="Arial" w:cs="Arial"/>
                  <w:sz w:val="20"/>
                  <w:szCs w:val="20"/>
                </w:rPr>
                <w:id w:val="-14389318"/>
                <w14:checkbox>
                  <w14:checked w14:val="1"/>
                  <w14:checkedState w14:val="2612" w14:font="MS Gothic"/>
                  <w14:uncheckedState w14:val="2610" w14:font="MS Gothic"/>
                </w14:checkbox>
              </w:sdtPr>
              <w:sdtEndPr/>
              <w:sdtContent>
                <w:r w:rsidR="000B5960" w:rsidRPr="002E2899">
                  <w:rPr>
                    <w:rFonts w:ascii="Segoe UI Symbol" w:eastAsia="MS Gothic" w:hAnsi="Segoe UI Symbol" w:cs="Segoe UI Symbol"/>
                    <w:sz w:val="20"/>
                    <w:szCs w:val="20"/>
                  </w:rPr>
                  <w:t>☒</w:t>
                </w:r>
              </w:sdtContent>
            </w:sdt>
            <w:r w:rsidR="000B5960" w:rsidRPr="002E2899">
              <w:rPr>
                <w:rFonts w:ascii="Arial" w:hAnsi="Arial" w:cs="Arial"/>
                <w:sz w:val="20"/>
                <w:szCs w:val="20"/>
              </w:rPr>
              <w:t>Yes</w:t>
            </w:r>
          </w:p>
          <w:p w14:paraId="038FCECB" w14:textId="77777777" w:rsidR="000B5960" w:rsidRDefault="00DA0614" w:rsidP="000B5960">
            <w:pPr>
              <w:tabs>
                <w:tab w:val="left" w:pos="3330"/>
              </w:tabs>
              <w:autoSpaceDE w:val="0"/>
              <w:autoSpaceDN w:val="0"/>
              <w:adjustRightInd w:val="0"/>
              <w:rPr>
                <w:rFonts w:ascii="Arial" w:hAnsi="Arial" w:cs="Arial"/>
                <w:sz w:val="20"/>
                <w:szCs w:val="20"/>
              </w:rPr>
            </w:pPr>
            <w:sdt>
              <w:sdtPr>
                <w:rPr>
                  <w:rFonts w:ascii="Arial" w:hAnsi="Arial" w:cs="Arial"/>
                  <w:sz w:val="20"/>
                  <w:szCs w:val="20"/>
                </w:rPr>
                <w:id w:val="1083875044"/>
                <w14:checkbox>
                  <w14:checked w14:val="0"/>
                  <w14:checkedState w14:val="2612" w14:font="MS Gothic"/>
                  <w14:uncheckedState w14:val="2610" w14:font="MS Gothic"/>
                </w14:checkbox>
              </w:sdtPr>
              <w:sdtEndPr/>
              <w:sdtContent>
                <w:r w:rsidR="000B5960" w:rsidRPr="002E2899">
                  <w:rPr>
                    <w:rFonts w:ascii="Segoe UI Symbol" w:eastAsia="MS Gothic" w:hAnsi="Segoe UI Symbol" w:cs="Segoe UI Symbol"/>
                    <w:sz w:val="20"/>
                    <w:szCs w:val="20"/>
                  </w:rPr>
                  <w:t>☐</w:t>
                </w:r>
              </w:sdtContent>
            </w:sdt>
            <w:r w:rsidR="000B5960" w:rsidRPr="002E2899">
              <w:rPr>
                <w:rFonts w:ascii="Arial" w:hAnsi="Arial" w:cs="Arial"/>
                <w:sz w:val="20"/>
                <w:szCs w:val="20"/>
              </w:rPr>
              <w:t xml:space="preserve">No </w:t>
            </w:r>
          </w:p>
          <w:p w14:paraId="3EFCE929" w14:textId="77777777" w:rsidR="000B5960" w:rsidRPr="002E2899" w:rsidRDefault="000B5960" w:rsidP="000B5960">
            <w:pPr>
              <w:tabs>
                <w:tab w:val="left" w:pos="3330"/>
              </w:tabs>
              <w:autoSpaceDE w:val="0"/>
              <w:autoSpaceDN w:val="0"/>
              <w:adjustRightInd w:val="0"/>
              <w:rPr>
                <w:rFonts w:ascii="Arial" w:hAnsi="Arial" w:cs="Arial"/>
                <w:sz w:val="20"/>
                <w:szCs w:val="20"/>
              </w:rPr>
            </w:pPr>
          </w:p>
          <w:p w14:paraId="07899DB3" w14:textId="77777777" w:rsidR="000B5960" w:rsidRDefault="000B5960" w:rsidP="000B5960">
            <w:pPr>
              <w:tabs>
                <w:tab w:val="left" w:pos="3330"/>
              </w:tabs>
              <w:autoSpaceDE w:val="0"/>
              <w:autoSpaceDN w:val="0"/>
              <w:adjustRightInd w:val="0"/>
              <w:rPr>
                <w:rFonts w:ascii="Arial" w:hAnsi="Arial" w:cs="Arial"/>
                <w:sz w:val="20"/>
                <w:szCs w:val="20"/>
              </w:rPr>
            </w:pPr>
            <w:r w:rsidRPr="002E2899">
              <w:rPr>
                <w:rFonts w:ascii="Arial" w:hAnsi="Arial" w:cs="Arial"/>
                <w:sz w:val="20"/>
                <w:szCs w:val="20"/>
              </w:rPr>
              <w:t>Blending facilities covering TEN-T and TEN-E priorities with budget contribution from the Connecting Europe facility (CEF) could be developed. The grant element of the blending operations would need to meet the</w:t>
            </w:r>
            <w:r>
              <w:rPr>
                <w:rFonts w:ascii="Arial" w:hAnsi="Arial" w:cs="Arial"/>
                <w:sz w:val="20"/>
                <w:szCs w:val="20"/>
              </w:rPr>
              <w:t xml:space="preserve"> applicable</w:t>
            </w:r>
            <w:r w:rsidRPr="002E2899">
              <w:rPr>
                <w:rFonts w:ascii="Arial" w:hAnsi="Arial" w:cs="Arial"/>
                <w:sz w:val="20"/>
                <w:szCs w:val="20"/>
              </w:rPr>
              <w:t xml:space="preserve"> TEN-T/TEN-E eligibility criter</w:t>
            </w:r>
            <w:r>
              <w:rPr>
                <w:rFonts w:ascii="Arial" w:hAnsi="Arial" w:cs="Arial"/>
                <w:sz w:val="20"/>
                <w:szCs w:val="20"/>
              </w:rPr>
              <w:t>ia as set in CEF Work Programs.</w:t>
            </w:r>
          </w:p>
          <w:p w14:paraId="4573A169" w14:textId="77777777" w:rsidR="000B5960" w:rsidRDefault="000B5960" w:rsidP="000B5960">
            <w:pPr>
              <w:tabs>
                <w:tab w:val="left" w:pos="3330"/>
              </w:tabs>
              <w:autoSpaceDE w:val="0"/>
              <w:autoSpaceDN w:val="0"/>
              <w:adjustRightInd w:val="0"/>
              <w:rPr>
                <w:rFonts w:ascii="Arial" w:hAnsi="Arial" w:cs="Arial"/>
                <w:sz w:val="20"/>
                <w:szCs w:val="20"/>
              </w:rPr>
            </w:pPr>
          </w:p>
          <w:p w14:paraId="00041AA1" w14:textId="77777777" w:rsidR="000B5960" w:rsidRPr="002E2899" w:rsidRDefault="000B5960" w:rsidP="000B5960">
            <w:pPr>
              <w:tabs>
                <w:tab w:val="left" w:pos="3330"/>
              </w:tabs>
              <w:autoSpaceDE w:val="0"/>
              <w:autoSpaceDN w:val="0"/>
              <w:adjustRightInd w:val="0"/>
              <w:rPr>
                <w:rFonts w:ascii="Arial" w:hAnsi="Arial" w:cs="Arial"/>
                <w:sz w:val="20"/>
                <w:szCs w:val="20"/>
              </w:rPr>
            </w:pPr>
            <w:r>
              <w:rPr>
                <w:rFonts w:ascii="Arial" w:hAnsi="Arial" w:cs="Arial"/>
                <w:sz w:val="20"/>
                <w:szCs w:val="20"/>
              </w:rPr>
              <w:t>Blending facilities with grant contribution from the LIFE Programme, Gigabit networks, and/or Internal Market Programme may also be developed.</w:t>
            </w:r>
          </w:p>
        </w:tc>
      </w:tr>
      <w:tr w:rsidR="000B5960" w:rsidRPr="002E2899" w14:paraId="2F63CB55" w14:textId="77777777" w:rsidTr="000B5960">
        <w:trPr>
          <w:trHeight w:val="1374"/>
        </w:trPr>
        <w:tc>
          <w:tcPr>
            <w:tcW w:w="1437" w:type="dxa"/>
          </w:tcPr>
          <w:p w14:paraId="611DB195" w14:textId="77777777" w:rsidR="000B5960" w:rsidRPr="00C34715" w:rsidRDefault="000B5960" w:rsidP="000B5960">
            <w:pPr>
              <w:rPr>
                <w:rFonts w:ascii="Arial" w:hAnsi="Arial" w:cs="Arial"/>
                <w:b/>
                <w:bCs/>
                <w:sz w:val="20"/>
                <w:szCs w:val="20"/>
              </w:rPr>
            </w:pPr>
            <w:r w:rsidRPr="00FE4697">
              <w:rPr>
                <w:rFonts w:ascii="Arial" w:hAnsi="Arial" w:cs="Arial"/>
                <w:b/>
                <w:bCs/>
                <w:sz w:val="20"/>
                <w:szCs w:val="20"/>
              </w:rPr>
              <w:t>14.</w:t>
            </w:r>
          </w:p>
        </w:tc>
        <w:tc>
          <w:tcPr>
            <w:tcW w:w="2494" w:type="dxa"/>
          </w:tcPr>
          <w:p w14:paraId="4B327D11" w14:textId="77777777" w:rsidR="000B5960" w:rsidRPr="00C34715" w:rsidRDefault="000B5960" w:rsidP="000B5960">
            <w:pPr>
              <w:rPr>
                <w:rFonts w:ascii="Arial" w:hAnsi="Arial" w:cs="Arial"/>
                <w:b/>
                <w:bCs/>
                <w:sz w:val="20"/>
                <w:szCs w:val="20"/>
              </w:rPr>
            </w:pPr>
            <w:r w:rsidRPr="00FE4697">
              <w:rPr>
                <w:rFonts w:ascii="Arial" w:hAnsi="Arial" w:cs="Arial"/>
                <w:b/>
                <w:bCs/>
                <w:sz w:val="20"/>
                <w:szCs w:val="20"/>
              </w:rPr>
              <w:t xml:space="preserve">Size of the </w:t>
            </w:r>
            <w:r>
              <w:rPr>
                <w:rFonts w:ascii="Arial" w:hAnsi="Arial" w:cs="Arial"/>
                <w:b/>
                <w:bCs/>
                <w:sz w:val="20"/>
                <w:szCs w:val="20"/>
              </w:rPr>
              <w:t xml:space="preserve">financial </w:t>
            </w:r>
            <w:r w:rsidRPr="00FE4697">
              <w:rPr>
                <w:rFonts w:ascii="Arial" w:hAnsi="Arial" w:cs="Arial"/>
                <w:b/>
                <w:bCs/>
                <w:sz w:val="20"/>
                <w:szCs w:val="20"/>
              </w:rPr>
              <w:t>Product</w:t>
            </w:r>
          </w:p>
        </w:tc>
        <w:tc>
          <w:tcPr>
            <w:tcW w:w="6417" w:type="dxa"/>
          </w:tcPr>
          <w:p w14:paraId="6AF4CA24" w14:textId="77777777" w:rsidR="000B5960" w:rsidRDefault="000B5960" w:rsidP="000B5960">
            <w:pPr>
              <w:autoSpaceDE w:val="0"/>
              <w:autoSpaceDN w:val="0"/>
              <w:adjustRightInd w:val="0"/>
              <w:rPr>
                <w:rFonts w:ascii="Arial" w:hAnsi="Arial" w:cs="Arial"/>
                <w:sz w:val="20"/>
                <w:szCs w:val="20"/>
              </w:rPr>
            </w:pPr>
            <w:r w:rsidRPr="0064259A">
              <w:rPr>
                <w:rFonts w:ascii="Arial" w:hAnsi="Arial" w:cs="Arial"/>
                <w:sz w:val="20"/>
                <w:szCs w:val="20"/>
              </w:rPr>
              <w:t xml:space="preserve">Total </w:t>
            </w:r>
            <w:r>
              <w:rPr>
                <w:rFonts w:ascii="Arial" w:hAnsi="Arial" w:cs="Arial"/>
                <w:sz w:val="20"/>
                <w:szCs w:val="20"/>
              </w:rPr>
              <w:t xml:space="preserve">amount of the EU Guarantee to this financial product shall amount to </w:t>
            </w:r>
            <w:r w:rsidRPr="00217930">
              <w:rPr>
                <w:rFonts w:ascii="Arial" w:hAnsi="Arial" w:cs="Arial"/>
                <w:sz w:val="20"/>
                <w:szCs w:val="20"/>
              </w:rPr>
              <w:t>€[</w:t>
            </w:r>
            <w:r>
              <w:rPr>
                <w:rFonts w:ascii="Arial" w:hAnsi="Arial" w:cs="Arial"/>
                <w:sz w:val="20"/>
                <w:szCs w:val="20"/>
              </w:rPr>
              <w:t>X</w:t>
            </w:r>
            <w:r w:rsidRPr="00217930">
              <w:rPr>
                <w:rFonts w:ascii="Arial" w:hAnsi="Arial" w:cs="Arial"/>
                <w:sz w:val="20"/>
                <w:szCs w:val="20"/>
              </w:rPr>
              <w:t>]</w:t>
            </w:r>
            <w:r>
              <w:rPr>
                <w:rFonts w:ascii="Arial" w:hAnsi="Arial" w:cs="Arial"/>
                <w:sz w:val="20"/>
                <w:szCs w:val="20"/>
              </w:rPr>
              <w:t>*</w:t>
            </w:r>
            <w:r w:rsidRPr="00217930">
              <w:rPr>
                <w:rFonts w:ascii="Arial" w:hAnsi="Arial" w:cs="Arial"/>
                <w:sz w:val="20"/>
                <w:szCs w:val="20"/>
              </w:rPr>
              <w:t xml:space="preserve"> million</w:t>
            </w:r>
            <w:r>
              <w:rPr>
                <w:rFonts w:ascii="Arial" w:hAnsi="Arial" w:cs="Arial"/>
                <w:sz w:val="20"/>
                <w:szCs w:val="20"/>
              </w:rPr>
              <w:t xml:space="preserve">. </w:t>
            </w:r>
          </w:p>
          <w:p w14:paraId="4BFBC688" w14:textId="77777777" w:rsidR="000B5960" w:rsidRDefault="000B5960" w:rsidP="000B5960">
            <w:pPr>
              <w:autoSpaceDE w:val="0"/>
              <w:autoSpaceDN w:val="0"/>
              <w:adjustRightInd w:val="0"/>
              <w:rPr>
                <w:rFonts w:ascii="Arial" w:hAnsi="Arial" w:cs="Arial"/>
                <w:sz w:val="20"/>
                <w:szCs w:val="20"/>
              </w:rPr>
            </w:pPr>
          </w:p>
          <w:p w14:paraId="14FC2833" w14:textId="77777777" w:rsidR="000B5960" w:rsidRPr="003A19D4" w:rsidRDefault="000B5960" w:rsidP="000B5960">
            <w:pPr>
              <w:autoSpaceDE w:val="0"/>
              <w:autoSpaceDN w:val="0"/>
              <w:adjustRightInd w:val="0"/>
              <w:rPr>
                <w:rFonts w:ascii="Arial" w:hAnsi="Arial" w:cs="Arial"/>
                <w:sz w:val="20"/>
                <w:szCs w:val="20"/>
                <w:u w:val="single"/>
              </w:rPr>
            </w:pPr>
            <w:r w:rsidRPr="003A19D4">
              <w:rPr>
                <w:rFonts w:ascii="Arial" w:hAnsi="Arial" w:cs="Arial"/>
                <w:sz w:val="20"/>
                <w:szCs w:val="20"/>
                <w:u w:val="single"/>
              </w:rPr>
              <w:t>Option 1: Portfolio FLP:</w:t>
            </w:r>
          </w:p>
          <w:p w14:paraId="289EE95F" w14:textId="77777777" w:rsidR="000B5960" w:rsidRPr="007E167E" w:rsidRDefault="000B5960" w:rsidP="000B5960">
            <w:pPr>
              <w:autoSpaceDE w:val="0"/>
              <w:autoSpaceDN w:val="0"/>
              <w:adjustRightInd w:val="0"/>
              <w:rPr>
                <w:rFonts w:ascii="Arial" w:hAnsi="Arial" w:cs="Arial"/>
                <w:sz w:val="20"/>
                <w:szCs w:val="20"/>
              </w:rPr>
            </w:pPr>
            <w:r>
              <w:rPr>
                <w:rFonts w:ascii="Arial" w:hAnsi="Arial" w:cs="Arial"/>
                <w:sz w:val="20"/>
                <w:szCs w:val="20"/>
              </w:rPr>
              <w:t xml:space="preserve">Portfolio </w:t>
            </w:r>
            <w:r w:rsidRPr="00217930">
              <w:rPr>
                <w:rFonts w:ascii="Arial" w:hAnsi="Arial" w:cs="Arial"/>
                <w:sz w:val="20"/>
                <w:szCs w:val="20"/>
              </w:rPr>
              <w:t>F</w:t>
            </w:r>
            <w:r>
              <w:rPr>
                <w:rFonts w:ascii="Arial" w:hAnsi="Arial" w:cs="Arial"/>
                <w:sz w:val="20"/>
                <w:szCs w:val="20"/>
              </w:rPr>
              <w:t xml:space="preserve">irst </w:t>
            </w:r>
            <w:r w:rsidRPr="00217930">
              <w:rPr>
                <w:rFonts w:ascii="Arial" w:hAnsi="Arial" w:cs="Arial"/>
                <w:sz w:val="20"/>
                <w:szCs w:val="20"/>
              </w:rPr>
              <w:t>L</w:t>
            </w:r>
            <w:r>
              <w:rPr>
                <w:rFonts w:ascii="Arial" w:hAnsi="Arial" w:cs="Arial"/>
                <w:sz w:val="20"/>
                <w:szCs w:val="20"/>
              </w:rPr>
              <w:t xml:space="preserve">oss </w:t>
            </w:r>
            <w:r w:rsidRPr="00217930">
              <w:rPr>
                <w:rFonts w:ascii="Arial" w:hAnsi="Arial" w:cs="Arial"/>
                <w:sz w:val="20"/>
                <w:szCs w:val="20"/>
              </w:rPr>
              <w:t>P</w:t>
            </w:r>
            <w:r>
              <w:rPr>
                <w:rFonts w:ascii="Arial" w:hAnsi="Arial" w:cs="Arial"/>
                <w:sz w:val="20"/>
                <w:szCs w:val="20"/>
              </w:rPr>
              <w:t>iece (PFLP) contribution</w:t>
            </w:r>
            <w:r w:rsidRPr="00217930">
              <w:rPr>
                <w:rFonts w:ascii="Arial" w:hAnsi="Arial" w:cs="Arial"/>
                <w:sz w:val="20"/>
                <w:szCs w:val="20"/>
              </w:rPr>
              <w:t xml:space="preserve">: </w:t>
            </w:r>
            <w:r>
              <w:rPr>
                <w:rFonts w:ascii="Arial" w:hAnsi="Arial" w:cs="Arial"/>
                <w:sz w:val="20"/>
                <w:szCs w:val="20"/>
              </w:rPr>
              <w:t xml:space="preserve">up to </w:t>
            </w:r>
            <w:r w:rsidRPr="00217930">
              <w:rPr>
                <w:rFonts w:ascii="Arial" w:hAnsi="Arial" w:cs="Arial"/>
                <w:sz w:val="20"/>
                <w:szCs w:val="20"/>
              </w:rPr>
              <w:t>€[</w:t>
            </w:r>
            <w:r>
              <w:rPr>
                <w:rFonts w:ascii="Arial" w:hAnsi="Arial" w:cs="Arial"/>
                <w:sz w:val="20"/>
                <w:szCs w:val="20"/>
              </w:rPr>
              <w:t>X</w:t>
            </w:r>
            <w:r w:rsidRPr="00217930">
              <w:rPr>
                <w:rFonts w:ascii="Arial" w:hAnsi="Arial" w:cs="Arial"/>
                <w:sz w:val="20"/>
                <w:szCs w:val="20"/>
              </w:rPr>
              <w:t>]</w:t>
            </w:r>
            <w:r>
              <w:rPr>
                <w:rFonts w:ascii="Arial" w:hAnsi="Arial" w:cs="Arial"/>
                <w:sz w:val="20"/>
                <w:szCs w:val="20"/>
              </w:rPr>
              <w:t>*</w:t>
            </w:r>
            <w:r w:rsidRPr="00217930">
              <w:rPr>
                <w:rFonts w:ascii="Arial" w:hAnsi="Arial" w:cs="Arial"/>
                <w:sz w:val="20"/>
                <w:szCs w:val="20"/>
              </w:rPr>
              <w:t xml:space="preserve"> million</w:t>
            </w:r>
            <w:r>
              <w:rPr>
                <w:rFonts w:ascii="Arial" w:hAnsi="Arial" w:cs="Arial"/>
                <w:sz w:val="20"/>
                <w:szCs w:val="20"/>
              </w:rPr>
              <w:t xml:space="preserve"> corresponding to a contribution to the PFLP of approximately** 20% </w:t>
            </w:r>
            <w:r>
              <w:rPr>
                <w:rFonts w:ascii="Arial" w:hAnsi="Arial"/>
                <w:sz w:val="20"/>
                <w:szCs w:val="20"/>
              </w:rPr>
              <w:t>of the overall amount of financing to be provided by the implementing partner under the product,</w:t>
            </w:r>
            <w:r>
              <w:rPr>
                <w:rFonts w:ascii="Arial" w:hAnsi="Arial" w:cs="Arial"/>
                <w:sz w:val="20"/>
                <w:szCs w:val="20"/>
              </w:rPr>
              <w:t xml:space="preserve"> with</w:t>
            </w:r>
          </w:p>
          <w:p w14:paraId="736BA7DE" w14:textId="77777777" w:rsidR="000B5960" w:rsidRPr="00736A63" w:rsidRDefault="000B5960" w:rsidP="000B5960">
            <w:pPr>
              <w:pStyle w:val="ListParagraph"/>
              <w:numPr>
                <w:ilvl w:val="0"/>
                <w:numId w:val="35"/>
              </w:numPr>
              <w:autoSpaceDE w:val="0"/>
              <w:autoSpaceDN w:val="0"/>
              <w:adjustRightInd w:val="0"/>
              <w:rPr>
                <w:rFonts w:ascii="Arial" w:hAnsi="Arial" w:cs="Arial"/>
                <w:sz w:val="20"/>
                <w:szCs w:val="20"/>
              </w:rPr>
            </w:pPr>
            <w:r w:rsidRPr="00736A63">
              <w:rPr>
                <w:rFonts w:ascii="Arial" w:hAnsi="Arial" w:cs="Arial"/>
                <w:sz w:val="20"/>
                <w:szCs w:val="20"/>
              </w:rPr>
              <w:t>EU Guarantee contribution to the PFLP: up to €[</w:t>
            </w:r>
            <w:r>
              <w:rPr>
                <w:rFonts w:ascii="Arial" w:hAnsi="Arial" w:cs="Arial"/>
                <w:sz w:val="20"/>
                <w:szCs w:val="20"/>
              </w:rPr>
              <w:t>X</w:t>
            </w:r>
            <w:r w:rsidRPr="00736A63">
              <w:rPr>
                <w:rFonts w:ascii="Arial" w:hAnsi="Arial" w:cs="Arial"/>
                <w:sz w:val="20"/>
                <w:szCs w:val="20"/>
              </w:rPr>
              <w:t xml:space="preserve">] million and </w:t>
            </w:r>
          </w:p>
          <w:p w14:paraId="0413DEFF" w14:textId="77777777" w:rsidR="000B5960" w:rsidRPr="00736A63" w:rsidRDefault="000B5960" w:rsidP="000B5960">
            <w:pPr>
              <w:pStyle w:val="ListParagraph"/>
              <w:numPr>
                <w:ilvl w:val="0"/>
                <w:numId w:val="35"/>
              </w:numPr>
              <w:autoSpaceDE w:val="0"/>
              <w:autoSpaceDN w:val="0"/>
              <w:adjustRightInd w:val="0"/>
              <w:rPr>
                <w:rFonts w:ascii="Arial" w:hAnsi="Arial" w:cs="Arial"/>
                <w:sz w:val="20"/>
                <w:szCs w:val="20"/>
              </w:rPr>
            </w:pPr>
            <w:r w:rsidRPr="00736A63">
              <w:rPr>
                <w:rFonts w:ascii="Arial" w:hAnsi="Arial" w:cs="Arial"/>
                <w:sz w:val="20"/>
                <w:szCs w:val="20"/>
              </w:rPr>
              <w:t>Implementing Partner contribution to the PFLP: up to €[</w:t>
            </w:r>
            <w:r>
              <w:rPr>
                <w:rFonts w:ascii="Arial" w:hAnsi="Arial" w:cs="Arial"/>
                <w:sz w:val="20"/>
                <w:szCs w:val="20"/>
              </w:rPr>
              <w:t>X</w:t>
            </w:r>
            <w:r w:rsidRPr="00736A63">
              <w:rPr>
                <w:rFonts w:ascii="Arial" w:hAnsi="Arial" w:cs="Arial"/>
                <w:sz w:val="20"/>
                <w:szCs w:val="20"/>
              </w:rPr>
              <w:t xml:space="preserve">] million. </w:t>
            </w:r>
          </w:p>
          <w:p w14:paraId="095E8D1E" w14:textId="77777777" w:rsidR="000B5960" w:rsidRPr="00217930" w:rsidRDefault="000B5960" w:rsidP="000B5960">
            <w:pPr>
              <w:autoSpaceDE w:val="0"/>
              <w:autoSpaceDN w:val="0"/>
              <w:adjustRightInd w:val="0"/>
              <w:rPr>
                <w:rFonts w:ascii="Arial" w:hAnsi="Arial" w:cs="Arial"/>
                <w:sz w:val="20"/>
                <w:szCs w:val="20"/>
              </w:rPr>
            </w:pPr>
            <w:r w:rsidRPr="007E167E">
              <w:rPr>
                <w:rFonts w:ascii="Arial" w:hAnsi="Arial" w:cs="Arial"/>
                <w:sz w:val="20"/>
                <w:szCs w:val="20"/>
              </w:rPr>
              <w:t>Implementing Partner residual risk</w:t>
            </w:r>
            <w:r>
              <w:rPr>
                <w:rFonts w:ascii="Arial" w:hAnsi="Arial" w:cs="Arial"/>
                <w:sz w:val="20"/>
                <w:szCs w:val="20"/>
              </w:rPr>
              <w:t xml:space="preserve"> contribution: approximately €[X</w:t>
            </w:r>
            <w:r w:rsidRPr="007E167E">
              <w:rPr>
                <w:rFonts w:ascii="Arial" w:hAnsi="Arial" w:cs="Arial"/>
                <w:sz w:val="20"/>
                <w:szCs w:val="20"/>
              </w:rPr>
              <w:t>] million</w:t>
            </w:r>
          </w:p>
          <w:p w14:paraId="0B587F62" w14:textId="77777777" w:rsidR="000B5960" w:rsidRDefault="000B5960" w:rsidP="000B5960">
            <w:pPr>
              <w:autoSpaceDE w:val="0"/>
              <w:autoSpaceDN w:val="0"/>
              <w:adjustRightInd w:val="0"/>
              <w:rPr>
                <w:rFonts w:ascii="Arial" w:hAnsi="Arial" w:cs="Arial"/>
                <w:sz w:val="20"/>
                <w:szCs w:val="20"/>
              </w:rPr>
            </w:pPr>
            <w:r w:rsidRPr="005C33FF">
              <w:rPr>
                <w:rFonts w:ascii="Arial" w:hAnsi="Arial" w:cs="Arial"/>
                <w:sz w:val="20"/>
                <w:szCs w:val="20"/>
              </w:rPr>
              <w:t>Total product size:</w:t>
            </w:r>
            <w:r>
              <w:rPr>
                <w:rFonts w:ascii="Arial" w:hAnsi="Arial" w:cs="Arial"/>
                <w:sz w:val="20"/>
                <w:szCs w:val="20"/>
              </w:rPr>
              <w:t xml:space="preserve"> approximately X]</w:t>
            </w:r>
            <w:r w:rsidRPr="005C33FF">
              <w:rPr>
                <w:rFonts w:ascii="Arial" w:hAnsi="Arial" w:cs="Arial"/>
                <w:sz w:val="20"/>
                <w:szCs w:val="20"/>
              </w:rPr>
              <w:t xml:space="preserve"> million</w:t>
            </w:r>
          </w:p>
          <w:p w14:paraId="5D1B9104" w14:textId="77777777" w:rsidR="000B5960" w:rsidRPr="005166FC" w:rsidRDefault="000B5960" w:rsidP="000B5960">
            <w:pPr>
              <w:rPr>
                <w:rFonts w:ascii="Arial" w:hAnsi="Arial" w:cs="Arial"/>
                <w:i/>
                <w:sz w:val="20"/>
                <w:szCs w:val="20"/>
                <w:u w:val="single"/>
              </w:rPr>
            </w:pPr>
          </w:p>
          <w:p w14:paraId="05972C0F" w14:textId="77777777" w:rsidR="000B5960" w:rsidRPr="00AE6A54" w:rsidRDefault="000B5960" w:rsidP="000B5960">
            <w:pPr>
              <w:rPr>
                <w:rFonts w:ascii="Arial" w:hAnsi="Arial" w:cs="Arial"/>
                <w:i/>
                <w:sz w:val="20"/>
                <w:szCs w:val="20"/>
                <w:u w:val="single"/>
              </w:rPr>
            </w:pPr>
            <w:r w:rsidRPr="00AE6A54">
              <w:rPr>
                <w:rFonts w:ascii="Arial" w:hAnsi="Arial" w:cs="Arial"/>
                <w:i/>
                <w:sz w:val="20"/>
                <w:szCs w:val="20"/>
                <w:u w:val="single"/>
              </w:rPr>
              <w:t>Option 2 – pari passu</w:t>
            </w:r>
          </w:p>
          <w:p w14:paraId="1381FA9E" w14:textId="77777777" w:rsidR="000B5960" w:rsidRDefault="000B5960" w:rsidP="000B5960">
            <w:pPr>
              <w:autoSpaceDE w:val="0"/>
              <w:autoSpaceDN w:val="0"/>
              <w:adjustRightInd w:val="0"/>
              <w:rPr>
                <w:rFonts w:ascii="Arial" w:hAnsi="Arial" w:cs="Arial"/>
                <w:sz w:val="20"/>
                <w:szCs w:val="20"/>
              </w:rPr>
            </w:pPr>
            <w:r w:rsidRPr="0064259A">
              <w:rPr>
                <w:rFonts w:ascii="Arial" w:hAnsi="Arial" w:cs="Arial"/>
                <w:sz w:val="20"/>
                <w:szCs w:val="20"/>
              </w:rPr>
              <w:t xml:space="preserve">Total </w:t>
            </w:r>
            <w:r>
              <w:rPr>
                <w:rFonts w:ascii="Arial" w:hAnsi="Arial" w:cs="Arial"/>
                <w:sz w:val="20"/>
                <w:szCs w:val="20"/>
              </w:rPr>
              <w:t xml:space="preserve">aggregate amount of the EU Guarantee for support of individual operations on a pari passu basis shall amount to </w:t>
            </w:r>
            <w:r w:rsidRPr="00217930">
              <w:rPr>
                <w:rFonts w:ascii="Arial" w:hAnsi="Arial" w:cs="Arial"/>
                <w:sz w:val="20"/>
                <w:szCs w:val="20"/>
              </w:rPr>
              <w:t>€[</w:t>
            </w:r>
            <w:r>
              <w:rPr>
                <w:rFonts w:ascii="Arial" w:hAnsi="Arial" w:cs="Arial"/>
                <w:sz w:val="20"/>
                <w:szCs w:val="20"/>
              </w:rPr>
              <w:t>X</w:t>
            </w:r>
            <w:r w:rsidRPr="00217930">
              <w:rPr>
                <w:rFonts w:ascii="Arial" w:hAnsi="Arial" w:cs="Arial"/>
                <w:sz w:val="20"/>
                <w:szCs w:val="20"/>
              </w:rPr>
              <w:t>]</w:t>
            </w:r>
            <w:r>
              <w:rPr>
                <w:rFonts w:ascii="Arial" w:hAnsi="Arial" w:cs="Arial"/>
                <w:sz w:val="20"/>
                <w:szCs w:val="20"/>
              </w:rPr>
              <w:t>*</w:t>
            </w:r>
            <w:r w:rsidRPr="00217930">
              <w:rPr>
                <w:rFonts w:ascii="Arial" w:hAnsi="Arial" w:cs="Arial"/>
                <w:sz w:val="20"/>
                <w:szCs w:val="20"/>
              </w:rPr>
              <w:t xml:space="preserve"> million</w:t>
            </w:r>
            <w:r>
              <w:rPr>
                <w:rFonts w:ascii="Arial" w:hAnsi="Arial" w:cs="Arial"/>
                <w:sz w:val="20"/>
                <w:szCs w:val="20"/>
              </w:rPr>
              <w:t xml:space="preserve">. </w:t>
            </w:r>
          </w:p>
          <w:p w14:paraId="7C783797" w14:textId="77777777" w:rsidR="000B5960" w:rsidRPr="00E16F91" w:rsidRDefault="000B5960" w:rsidP="000B5960">
            <w:pPr>
              <w:rPr>
                <w:rFonts w:ascii="Arial" w:hAnsi="Arial" w:cs="Arial"/>
                <w:i/>
                <w:sz w:val="20"/>
                <w:szCs w:val="20"/>
              </w:rPr>
            </w:pPr>
          </w:p>
          <w:p w14:paraId="2AF9A4E7" w14:textId="77777777" w:rsidR="000B5960" w:rsidRPr="0010342C" w:rsidRDefault="000B5960" w:rsidP="000B5960">
            <w:pPr>
              <w:autoSpaceDE w:val="0"/>
              <w:autoSpaceDN w:val="0"/>
              <w:adjustRightInd w:val="0"/>
              <w:rPr>
                <w:rFonts w:ascii="Arial" w:hAnsi="Arial" w:cs="Arial"/>
                <w:i/>
                <w:sz w:val="20"/>
                <w:szCs w:val="20"/>
                <w:u w:val="single"/>
              </w:rPr>
            </w:pPr>
            <w:r w:rsidRPr="0010342C">
              <w:rPr>
                <w:rFonts w:ascii="Arial" w:hAnsi="Arial" w:cs="Arial"/>
                <w:i/>
                <w:sz w:val="20"/>
                <w:szCs w:val="20"/>
                <w:u w:val="single"/>
              </w:rPr>
              <w:t>Option 3 – Mezzanine tranche</w:t>
            </w:r>
          </w:p>
          <w:p w14:paraId="4637EDEF" w14:textId="77777777" w:rsidR="000B5960" w:rsidRDefault="000B5960" w:rsidP="000B5960">
            <w:pPr>
              <w:autoSpaceDE w:val="0"/>
              <w:autoSpaceDN w:val="0"/>
              <w:adjustRightInd w:val="0"/>
              <w:rPr>
                <w:rFonts w:ascii="Arial" w:hAnsi="Arial"/>
                <w:sz w:val="20"/>
                <w:szCs w:val="20"/>
              </w:rPr>
            </w:pPr>
            <w:r>
              <w:rPr>
                <w:rFonts w:ascii="Arial" w:hAnsi="Arial" w:cs="Arial"/>
                <w:sz w:val="20"/>
                <w:szCs w:val="20"/>
              </w:rPr>
              <w:t xml:space="preserve">IP coverage of the Portfolio </w:t>
            </w:r>
            <w:r w:rsidRPr="00217930">
              <w:rPr>
                <w:rFonts w:ascii="Arial" w:hAnsi="Arial" w:cs="Arial"/>
                <w:sz w:val="20"/>
                <w:szCs w:val="20"/>
              </w:rPr>
              <w:t>F</w:t>
            </w:r>
            <w:r>
              <w:rPr>
                <w:rFonts w:ascii="Arial" w:hAnsi="Arial" w:cs="Arial"/>
                <w:sz w:val="20"/>
                <w:szCs w:val="20"/>
              </w:rPr>
              <w:t xml:space="preserve">irst </w:t>
            </w:r>
            <w:r w:rsidRPr="00217930">
              <w:rPr>
                <w:rFonts w:ascii="Arial" w:hAnsi="Arial" w:cs="Arial"/>
                <w:sz w:val="20"/>
                <w:szCs w:val="20"/>
              </w:rPr>
              <w:t>L</w:t>
            </w:r>
            <w:r>
              <w:rPr>
                <w:rFonts w:ascii="Arial" w:hAnsi="Arial" w:cs="Arial"/>
                <w:sz w:val="20"/>
                <w:szCs w:val="20"/>
              </w:rPr>
              <w:t xml:space="preserve">oss </w:t>
            </w:r>
            <w:r w:rsidRPr="00217930">
              <w:rPr>
                <w:rFonts w:ascii="Arial" w:hAnsi="Arial" w:cs="Arial"/>
                <w:sz w:val="20"/>
                <w:szCs w:val="20"/>
              </w:rPr>
              <w:t>P</w:t>
            </w:r>
            <w:r>
              <w:rPr>
                <w:rFonts w:ascii="Arial" w:hAnsi="Arial" w:cs="Arial"/>
                <w:sz w:val="20"/>
                <w:szCs w:val="20"/>
              </w:rPr>
              <w:t xml:space="preserve">iece (PFLP) of up to </w:t>
            </w:r>
            <w:r w:rsidRPr="00217930">
              <w:rPr>
                <w:rFonts w:ascii="Arial" w:hAnsi="Arial" w:cs="Arial"/>
                <w:sz w:val="20"/>
                <w:szCs w:val="20"/>
              </w:rPr>
              <w:t>€[</w:t>
            </w:r>
            <w:r>
              <w:rPr>
                <w:rFonts w:ascii="Arial" w:hAnsi="Arial" w:cs="Arial"/>
                <w:sz w:val="20"/>
                <w:szCs w:val="20"/>
              </w:rPr>
              <w:t>X</w:t>
            </w:r>
            <w:r w:rsidRPr="00217930">
              <w:rPr>
                <w:rFonts w:ascii="Arial" w:hAnsi="Arial" w:cs="Arial"/>
                <w:sz w:val="20"/>
                <w:szCs w:val="20"/>
              </w:rPr>
              <w:t>]</w:t>
            </w:r>
            <w:r>
              <w:rPr>
                <w:rFonts w:ascii="Arial" w:hAnsi="Arial" w:cs="Arial"/>
                <w:sz w:val="20"/>
                <w:szCs w:val="20"/>
              </w:rPr>
              <w:t>*</w:t>
            </w:r>
            <w:r w:rsidRPr="00217930">
              <w:rPr>
                <w:rFonts w:ascii="Arial" w:hAnsi="Arial" w:cs="Arial"/>
                <w:sz w:val="20"/>
                <w:szCs w:val="20"/>
              </w:rPr>
              <w:t xml:space="preserve"> million</w:t>
            </w:r>
            <w:r>
              <w:rPr>
                <w:rFonts w:ascii="Arial" w:hAnsi="Arial" w:cs="Arial"/>
                <w:sz w:val="20"/>
                <w:szCs w:val="20"/>
              </w:rPr>
              <w:t xml:space="preserve"> corresponding to approximately** 20% </w:t>
            </w:r>
            <w:r>
              <w:rPr>
                <w:rFonts w:ascii="Arial" w:hAnsi="Arial"/>
                <w:sz w:val="20"/>
                <w:szCs w:val="20"/>
              </w:rPr>
              <w:t xml:space="preserve">of the overall amount of financing to be provided by the implementing partner under the product. </w:t>
            </w:r>
          </w:p>
          <w:p w14:paraId="6AAFD69E" w14:textId="77777777" w:rsidR="000B5960" w:rsidRPr="007E167E" w:rsidRDefault="000B5960" w:rsidP="000B5960">
            <w:pPr>
              <w:autoSpaceDE w:val="0"/>
              <w:autoSpaceDN w:val="0"/>
              <w:adjustRightInd w:val="0"/>
              <w:rPr>
                <w:rFonts w:ascii="Arial" w:hAnsi="Arial" w:cs="Arial"/>
                <w:sz w:val="20"/>
                <w:szCs w:val="20"/>
              </w:rPr>
            </w:pPr>
          </w:p>
          <w:p w14:paraId="76C961B5" w14:textId="77777777" w:rsidR="000B5960" w:rsidRDefault="000B5960" w:rsidP="000B5960">
            <w:pPr>
              <w:autoSpaceDE w:val="0"/>
              <w:autoSpaceDN w:val="0"/>
              <w:adjustRightInd w:val="0"/>
              <w:rPr>
                <w:rFonts w:ascii="Arial" w:hAnsi="Arial" w:cs="Arial"/>
                <w:sz w:val="20"/>
                <w:szCs w:val="20"/>
              </w:rPr>
            </w:pPr>
            <w:r w:rsidRPr="001F4607">
              <w:rPr>
                <w:rFonts w:ascii="Arial" w:hAnsi="Arial" w:cs="Arial"/>
                <w:sz w:val="20"/>
                <w:szCs w:val="20"/>
              </w:rPr>
              <w:t xml:space="preserve">EU Guarantee </w:t>
            </w:r>
            <w:r>
              <w:rPr>
                <w:rFonts w:ascii="Arial" w:hAnsi="Arial" w:cs="Arial"/>
                <w:sz w:val="20"/>
                <w:szCs w:val="20"/>
              </w:rPr>
              <w:t xml:space="preserve">of the mezzanine tranche of </w:t>
            </w:r>
            <w:r w:rsidRPr="001F4607">
              <w:rPr>
                <w:rFonts w:ascii="Arial" w:hAnsi="Arial" w:cs="Arial"/>
                <w:sz w:val="20"/>
                <w:szCs w:val="20"/>
              </w:rPr>
              <w:t xml:space="preserve">up to €[X] million and </w:t>
            </w:r>
            <w:r>
              <w:rPr>
                <w:rFonts w:ascii="Arial" w:hAnsi="Arial" w:cs="Arial"/>
                <w:sz w:val="20"/>
                <w:szCs w:val="20"/>
              </w:rPr>
              <w:t>c</w:t>
            </w:r>
            <w:r w:rsidRPr="001F4607">
              <w:rPr>
                <w:rFonts w:ascii="Arial" w:hAnsi="Arial" w:cs="Arial"/>
                <w:sz w:val="20"/>
                <w:szCs w:val="20"/>
              </w:rPr>
              <w:t>orresponding to a contribution of approximately</w:t>
            </w:r>
            <w:r>
              <w:rPr>
                <w:rFonts w:ascii="Arial" w:hAnsi="Arial" w:cs="Arial"/>
                <w:sz w:val="20"/>
                <w:szCs w:val="20"/>
              </w:rPr>
              <w:t>** 20% of</w:t>
            </w:r>
            <w:r w:rsidRPr="001F4607">
              <w:rPr>
                <w:rFonts w:ascii="Arial" w:hAnsi="Arial" w:cs="Arial"/>
                <w:sz w:val="20"/>
                <w:szCs w:val="20"/>
              </w:rPr>
              <w:t xml:space="preserve"> the overall amount of financing to be provided by the implementing partner under the product.</w:t>
            </w:r>
            <w:r>
              <w:rPr>
                <w:rFonts w:ascii="Arial" w:hAnsi="Arial" w:cs="Arial"/>
                <w:sz w:val="20"/>
                <w:szCs w:val="20"/>
              </w:rPr>
              <w:t xml:space="preserve"> The EU guarantee is senior in ranking to the PFLP exposure. </w:t>
            </w:r>
          </w:p>
          <w:p w14:paraId="26B655B1" w14:textId="77777777" w:rsidR="000B5960" w:rsidRDefault="000B5960" w:rsidP="000B5960">
            <w:pPr>
              <w:autoSpaceDE w:val="0"/>
              <w:autoSpaceDN w:val="0"/>
              <w:adjustRightInd w:val="0"/>
              <w:rPr>
                <w:rFonts w:ascii="Arial" w:hAnsi="Arial" w:cs="Arial"/>
                <w:sz w:val="20"/>
                <w:szCs w:val="20"/>
              </w:rPr>
            </w:pPr>
          </w:p>
          <w:p w14:paraId="3C02215F" w14:textId="77777777" w:rsidR="000B5960" w:rsidRPr="001F4607" w:rsidRDefault="000B5960" w:rsidP="000B5960">
            <w:pPr>
              <w:autoSpaceDE w:val="0"/>
              <w:autoSpaceDN w:val="0"/>
              <w:adjustRightInd w:val="0"/>
              <w:rPr>
                <w:rFonts w:ascii="Arial" w:hAnsi="Arial" w:cs="Arial"/>
                <w:sz w:val="20"/>
                <w:szCs w:val="20"/>
              </w:rPr>
            </w:pPr>
            <w:r>
              <w:rPr>
                <w:rFonts w:ascii="Arial" w:hAnsi="Arial" w:cs="Arial"/>
                <w:sz w:val="20"/>
                <w:szCs w:val="20"/>
              </w:rPr>
              <w:t xml:space="preserve">The residual risk shall be covered by the IP. </w:t>
            </w:r>
          </w:p>
          <w:p w14:paraId="38C70A96" w14:textId="77777777" w:rsidR="000B5960" w:rsidRPr="001F4607" w:rsidRDefault="000B5960" w:rsidP="000B5960">
            <w:pPr>
              <w:autoSpaceDE w:val="0"/>
              <w:autoSpaceDN w:val="0"/>
              <w:adjustRightInd w:val="0"/>
              <w:rPr>
                <w:rFonts w:ascii="Arial" w:hAnsi="Arial" w:cs="Arial"/>
                <w:i/>
                <w:sz w:val="20"/>
                <w:szCs w:val="20"/>
              </w:rPr>
            </w:pPr>
          </w:p>
          <w:p w14:paraId="46EDE480" w14:textId="77777777" w:rsidR="000B5960" w:rsidRPr="002E2899" w:rsidDel="00A970EE" w:rsidRDefault="000B5960" w:rsidP="000B5960">
            <w:pPr>
              <w:autoSpaceDE w:val="0"/>
              <w:autoSpaceDN w:val="0"/>
              <w:adjustRightInd w:val="0"/>
              <w:rPr>
                <w:rFonts w:ascii="Arial" w:hAnsi="Arial" w:cs="Arial"/>
                <w:sz w:val="20"/>
                <w:szCs w:val="20"/>
              </w:rPr>
            </w:pPr>
            <w:r w:rsidRPr="001715D3">
              <w:rPr>
                <w:rFonts w:ascii="Arial" w:hAnsi="Arial" w:cs="Arial"/>
                <w:i/>
                <w:sz w:val="20"/>
                <w:szCs w:val="20"/>
              </w:rPr>
              <w:lastRenderedPageBreak/>
              <w:t>*The figures are illustrative and do not represent the Commission’s view on a possible envisaged allocation of the guarantee to a particular product.</w:t>
            </w:r>
            <w:r>
              <w:rPr>
                <w:rFonts w:ascii="Arial" w:hAnsi="Arial" w:cs="Arial"/>
                <w:i/>
                <w:sz w:val="20"/>
                <w:szCs w:val="20"/>
              </w:rPr>
              <w:t xml:space="preserve"> **The figures may vary depending on the modalities of the contribution to the PFLP of the signed operations. </w:t>
            </w:r>
          </w:p>
        </w:tc>
      </w:tr>
      <w:tr w:rsidR="000B5960" w:rsidRPr="002E2899" w14:paraId="19BCA3DF" w14:textId="77777777" w:rsidTr="000B5960">
        <w:trPr>
          <w:trHeight w:val="779"/>
        </w:trPr>
        <w:tc>
          <w:tcPr>
            <w:tcW w:w="1437" w:type="dxa"/>
          </w:tcPr>
          <w:p w14:paraId="227C44A3" w14:textId="77777777" w:rsidR="000B5960" w:rsidRPr="00C34715" w:rsidRDefault="000B5960" w:rsidP="000B5960">
            <w:pPr>
              <w:rPr>
                <w:rFonts w:ascii="Arial" w:hAnsi="Arial" w:cs="Arial"/>
                <w:b/>
                <w:bCs/>
                <w:sz w:val="20"/>
                <w:szCs w:val="20"/>
              </w:rPr>
            </w:pPr>
            <w:r w:rsidRPr="00FE4697">
              <w:rPr>
                <w:rFonts w:ascii="Arial" w:hAnsi="Arial" w:cs="Arial"/>
                <w:b/>
                <w:bCs/>
                <w:sz w:val="20"/>
                <w:szCs w:val="20"/>
              </w:rPr>
              <w:lastRenderedPageBreak/>
              <w:t>15.</w:t>
            </w:r>
          </w:p>
        </w:tc>
        <w:tc>
          <w:tcPr>
            <w:tcW w:w="2494" w:type="dxa"/>
          </w:tcPr>
          <w:p w14:paraId="1461E301" w14:textId="77777777" w:rsidR="000B5960" w:rsidRPr="00C34715" w:rsidRDefault="000B5960" w:rsidP="000B5960">
            <w:pPr>
              <w:rPr>
                <w:rFonts w:ascii="Arial" w:hAnsi="Arial" w:cs="Arial"/>
                <w:i/>
                <w:iCs/>
                <w:sz w:val="20"/>
                <w:szCs w:val="20"/>
              </w:rPr>
            </w:pPr>
            <w:r w:rsidRPr="00FE4697">
              <w:rPr>
                <w:rFonts w:ascii="Arial" w:hAnsi="Arial" w:cs="Arial"/>
                <w:b/>
                <w:bCs/>
                <w:sz w:val="20"/>
                <w:szCs w:val="20"/>
              </w:rPr>
              <w:t xml:space="preserve">Pricing (only relevant for debt/guarantee </w:t>
            </w:r>
            <w:r>
              <w:rPr>
                <w:rFonts w:ascii="Arial" w:hAnsi="Arial" w:cs="Arial"/>
                <w:b/>
                <w:bCs/>
                <w:sz w:val="20"/>
                <w:szCs w:val="20"/>
              </w:rPr>
              <w:t xml:space="preserve">financial </w:t>
            </w:r>
            <w:r w:rsidRPr="00FE4697">
              <w:rPr>
                <w:rFonts w:ascii="Arial" w:hAnsi="Arial" w:cs="Arial"/>
                <w:b/>
                <w:bCs/>
                <w:sz w:val="20"/>
                <w:szCs w:val="20"/>
              </w:rPr>
              <w:t>products)</w:t>
            </w:r>
          </w:p>
        </w:tc>
        <w:tc>
          <w:tcPr>
            <w:tcW w:w="6417" w:type="dxa"/>
          </w:tcPr>
          <w:p w14:paraId="0A4E6346" w14:textId="77777777" w:rsidR="000B5960" w:rsidRPr="00540E3C" w:rsidRDefault="00DA0614" w:rsidP="000B5960">
            <w:pPr>
              <w:tabs>
                <w:tab w:val="left" w:pos="915"/>
              </w:tabs>
              <w:autoSpaceDE w:val="0"/>
              <w:autoSpaceDN w:val="0"/>
              <w:adjustRightInd w:val="0"/>
              <w:rPr>
                <w:rFonts w:ascii="Arial" w:hAnsi="Arial" w:cs="Arial"/>
                <w:sz w:val="20"/>
                <w:szCs w:val="20"/>
              </w:rPr>
            </w:pPr>
            <w:sdt>
              <w:sdtPr>
                <w:rPr>
                  <w:rFonts w:ascii="Arial" w:hAnsi="Arial" w:cs="Arial"/>
                  <w:sz w:val="20"/>
                  <w:szCs w:val="20"/>
                </w:rPr>
                <w:id w:val="20908143"/>
                <w14:checkbox>
                  <w14:checked w14:val="0"/>
                  <w14:checkedState w14:val="2612" w14:font="MS Gothic"/>
                  <w14:uncheckedState w14:val="2610" w14:font="MS Gothic"/>
                </w14:checkbox>
              </w:sdtPr>
              <w:sdtEndPr/>
              <w:sdtContent>
                <w:r w:rsidR="000B5960" w:rsidRPr="002E2899">
                  <w:rPr>
                    <w:rFonts w:ascii="Segoe UI Symbol" w:eastAsia="MS Gothic" w:hAnsi="Segoe UI Symbol" w:cs="Segoe UI Symbol"/>
                    <w:sz w:val="20"/>
                    <w:szCs w:val="20"/>
                  </w:rPr>
                  <w:t>☐</w:t>
                </w:r>
              </w:sdtContent>
            </w:sdt>
            <w:r w:rsidR="000B5960" w:rsidRPr="00540E3C">
              <w:rPr>
                <w:rFonts w:ascii="Arial" w:hAnsi="Arial" w:cs="Arial"/>
                <w:sz w:val="20"/>
                <w:szCs w:val="20"/>
              </w:rPr>
              <w:t>Free of charge</w:t>
            </w:r>
          </w:p>
          <w:p w14:paraId="7C4339F6" w14:textId="77777777" w:rsidR="000B5960" w:rsidRPr="002E2899" w:rsidRDefault="00DA0614" w:rsidP="000B5960">
            <w:pPr>
              <w:tabs>
                <w:tab w:val="left" w:pos="915"/>
              </w:tabs>
              <w:autoSpaceDE w:val="0"/>
              <w:autoSpaceDN w:val="0"/>
              <w:adjustRightInd w:val="0"/>
              <w:rPr>
                <w:rFonts w:ascii="Arial" w:hAnsi="Arial" w:cs="Arial"/>
                <w:sz w:val="20"/>
                <w:szCs w:val="20"/>
              </w:rPr>
            </w:pPr>
            <w:sdt>
              <w:sdtPr>
                <w:rPr>
                  <w:rFonts w:ascii="Arial" w:hAnsi="Arial" w:cs="Arial"/>
                  <w:sz w:val="20"/>
                  <w:szCs w:val="20"/>
                </w:rPr>
                <w:id w:val="-955866965"/>
                <w14:checkbox>
                  <w14:checked w14:val="0"/>
                  <w14:checkedState w14:val="2612" w14:font="MS Gothic"/>
                  <w14:uncheckedState w14:val="2610" w14:font="MS Gothic"/>
                </w14:checkbox>
              </w:sdtPr>
              <w:sdtEndPr/>
              <w:sdtContent>
                <w:r w:rsidR="000B5960" w:rsidRPr="00540E3C">
                  <w:rPr>
                    <w:rFonts w:ascii="MS Gothic" w:eastAsia="MS Gothic" w:hAnsi="MS Gothic" w:cs="Arial" w:hint="eastAsia"/>
                    <w:sz w:val="20"/>
                    <w:szCs w:val="20"/>
                  </w:rPr>
                  <w:t>☐</w:t>
                </w:r>
              </w:sdtContent>
            </w:sdt>
            <w:r w:rsidR="000B5960" w:rsidRPr="00540E3C">
              <w:rPr>
                <w:rFonts w:ascii="Arial" w:hAnsi="Arial" w:cs="Arial"/>
                <w:sz w:val="20"/>
                <w:szCs w:val="20"/>
              </w:rPr>
              <w:t>Partially priced</w:t>
            </w:r>
          </w:p>
          <w:p w14:paraId="3A1381C9" w14:textId="77777777" w:rsidR="000B5960" w:rsidRPr="002E2899" w:rsidRDefault="00DA0614" w:rsidP="000B5960">
            <w:pPr>
              <w:tabs>
                <w:tab w:val="left" w:pos="915"/>
              </w:tabs>
              <w:autoSpaceDE w:val="0"/>
              <w:autoSpaceDN w:val="0"/>
              <w:adjustRightInd w:val="0"/>
              <w:rPr>
                <w:rFonts w:ascii="Arial" w:hAnsi="Arial" w:cs="Arial"/>
                <w:sz w:val="20"/>
                <w:szCs w:val="20"/>
              </w:rPr>
            </w:pPr>
            <w:sdt>
              <w:sdtPr>
                <w:rPr>
                  <w:rFonts w:ascii="Arial" w:hAnsi="Arial" w:cs="Arial"/>
                  <w:sz w:val="20"/>
                  <w:szCs w:val="20"/>
                </w:rPr>
                <w:id w:val="-1770465951"/>
                <w14:checkbox>
                  <w14:checked w14:val="1"/>
                  <w14:checkedState w14:val="2612" w14:font="MS Gothic"/>
                  <w14:uncheckedState w14:val="2610" w14:font="MS Gothic"/>
                </w14:checkbox>
              </w:sdtPr>
              <w:sdtEndPr/>
              <w:sdtContent>
                <w:r w:rsidR="000B5960" w:rsidRPr="002E2899">
                  <w:rPr>
                    <w:rFonts w:ascii="Segoe UI Symbol" w:eastAsia="MS Gothic" w:hAnsi="Segoe UI Symbol" w:cs="Segoe UI Symbol"/>
                    <w:sz w:val="20"/>
                    <w:szCs w:val="20"/>
                  </w:rPr>
                  <w:t>☒</w:t>
                </w:r>
              </w:sdtContent>
            </w:sdt>
            <w:r w:rsidR="000B5960" w:rsidRPr="002E2899">
              <w:rPr>
                <w:rFonts w:ascii="Arial" w:hAnsi="Arial" w:cs="Arial"/>
                <w:sz w:val="20"/>
                <w:szCs w:val="20"/>
              </w:rPr>
              <w:t>Fully priced</w:t>
            </w:r>
          </w:p>
          <w:p w14:paraId="1966D9C2" w14:textId="77777777" w:rsidR="000B5960" w:rsidRPr="002E2899" w:rsidRDefault="000B5960" w:rsidP="000B5960">
            <w:pPr>
              <w:tabs>
                <w:tab w:val="left" w:pos="915"/>
              </w:tabs>
              <w:autoSpaceDE w:val="0"/>
              <w:autoSpaceDN w:val="0"/>
              <w:adjustRightInd w:val="0"/>
              <w:rPr>
                <w:rFonts w:ascii="Arial" w:hAnsi="Arial" w:cs="Arial"/>
                <w:sz w:val="20"/>
                <w:szCs w:val="20"/>
              </w:rPr>
            </w:pPr>
          </w:p>
        </w:tc>
      </w:tr>
      <w:tr w:rsidR="000B5960" w:rsidRPr="002E2899" w14:paraId="52EB18E3" w14:textId="77777777" w:rsidTr="000B5960">
        <w:trPr>
          <w:trHeight w:val="449"/>
        </w:trPr>
        <w:tc>
          <w:tcPr>
            <w:tcW w:w="1437" w:type="dxa"/>
          </w:tcPr>
          <w:p w14:paraId="74E764EB" w14:textId="77777777" w:rsidR="000B5960" w:rsidRPr="00C34715" w:rsidRDefault="000B5960" w:rsidP="000B5960">
            <w:pPr>
              <w:rPr>
                <w:rFonts w:ascii="Arial" w:hAnsi="Arial" w:cs="Arial"/>
                <w:b/>
                <w:bCs/>
                <w:sz w:val="20"/>
                <w:szCs w:val="20"/>
              </w:rPr>
            </w:pPr>
            <w:r w:rsidRPr="00FE4697">
              <w:rPr>
                <w:rFonts w:ascii="Arial" w:hAnsi="Arial" w:cs="Arial"/>
                <w:b/>
                <w:bCs/>
                <w:sz w:val="20"/>
                <w:szCs w:val="20"/>
              </w:rPr>
              <w:t>16.</w:t>
            </w:r>
          </w:p>
        </w:tc>
        <w:tc>
          <w:tcPr>
            <w:tcW w:w="2494" w:type="dxa"/>
          </w:tcPr>
          <w:p w14:paraId="6C179370" w14:textId="77777777" w:rsidR="000B5960" w:rsidRPr="00C34715" w:rsidRDefault="000B5960" w:rsidP="000B5960">
            <w:pPr>
              <w:rPr>
                <w:rFonts w:ascii="Arial" w:hAnsi="Arial" w:cs="Arial"/>
                <w:b/>
                <w:bCs/>
                <w:sz w:val="20"/>
                <w:szCs w:val="20"/>
              </w:rPr>
            </w:pPr>
            <w:r w:rsidRPr="00FE4697">
              <w:rPr>
                <w:rFonts w:ascii="Arial" w:hAnsi="Arial" w:cs="Arial"/>
                <w:b/>
                <w:bCs/>
                <w:sz w:val="20"/>
                <w:szCs w:val="20"/>
              </w:rPr>
              <w:t>Guaranteed Amounts</w:t>
            </w:r>
          </w:p>
        </w:tc>
        <w:tc>
          <w:tcPr>
            <w:tcW w:w="6417" w:type="dxa"/>
          </w:tcPr>
          <w:p w14:paraId="5F802A7E" w14:textId="77777777" w:rsidR="000B5960" w:rsidRPr="002E2899" w:rsidDel="00A970EE" w:rsidRDefault="000B5960" w:rsidP="000B5960">
            <w:pPr>
              <w:rPr>
                <w:rFonts w:ascii="Arial" w:hAnsi="Arial" w:cs="Arial"/>
                <w:sz w:val="20"/>
                <w:szCs w:val="20"/>
              </w:rPr>
            </w:pPr>
            <w:r w:rsidRPr="00540E3C">
              <w:rPr>
                <w:rFonts w:ascii="Arial" w:hAnsi="Arial" w:cs="Arial"/>
                <w:sz w:val="20"/>
                <w:szCs w:val="20"/>
              </w:rPr>
              <w:t xml:space="preserve">In line with Article 16 (2) of the InvestEU Regulation, [the EU Guarantee shall cover, as applicable, principle and all interest and amounts due to the implementing partner but not received by it in accordance with the terms of the financing </w:t>
            </w:r>
            <w:r w:rsidRPr="00540E3C">
              <w:rPr>
                <w:rFonts w:ascii="Arial" w:hAnsi="Arial"/>
                <w:sz w:val="20"/>
                <w:szCs w:val="20"/>
              </w:rPr>
              <w:t xml:space="preserve">or investment </w:t>
            </w:r>
            <w:r w:rsidRPr="00540E3C">
              <w:rPr>
                <w:rFonts w:ascii="Arial" w:hAnsi="Arial" w:cs="Arial"/>
                <w:sz w:val="20"/>
                <w:szCs w:val="20"/>
              </w:rPr>
              <w:t>operations until the event of default, (for subordinated debt a deferral, reduction or required exits shall be considered to be an event of default), restructuring losses,  losses arising from currencies fluctuations other than the euro in markets where possibilities for long-term hedging are limited</w:t>
            </w:r>
            <w:r w:rsidRPr="00895923">
              <w:rPr>
                <w:rFonts w:ascii="Arial" w:hAnsi="Arial" w:cs="Arial"/>
                <w:sz w:val="20"/>
                <w:szCs w:val="20"/>
              </w:rPr>
              <w:t>.</w:t>
            </w:r>
          </w:p>
        </w:tc>
      </w:tr>
      <w:tr w:rsidR="000B5960" w:rsidRPr="002E2899" w14:paraId="17B54ABB" w14:textId="77777777" w:rsidTr="000B5960">
        <w:trPr>
          <w:trHeight w:val="779"/>
        </w:trPr>
        <w:tc>
          <w:tcPr>
            <w:tcW w:w="1437" w:type="dxa"/>
          </w:tcPr>
          <w:p w14:paraId="202692A2" w14:textId="77777777" w:rsidR="000B5960" w:rsidRPr="00C34715" w:rsidRDefault="000B5960" w:rsidP="000B5960">
            <w:pPr>
              <w:rPr>
                <w:rFonts w:ascii="Arial" w:hAnsi="Arial" w:cs="Arial"/>
                <w:b/>
                <w:bCs/>
                <w:sz w:val="20"/>
                <w:szCs w:val="20"/>
              </w:rPr>
            </w:pPr>
            <w:r w:rsidRPr="00FE4697">
              <w:rPr>
                <w:rFonts w:ascii="Arial" w:hAnsi="Arial" w:cs="Arial"/>
                <w:b/>
                <w:bCs/>
                <w:sz w:val="20"/>
                <w:szCs w:val="20"/>
              </w:rPr>
              <w:t>17.</w:t>
            </w:r>
          </w:p>
        </w:tc>
        <w:tc>
          <w:tcPr>
            <w:tcW w:w="2494" w:type="dxa"/>
          </w:tcPr>
          <w:p w14:paraId="02D42659" w14:textId="77777777" w:rsidR="000B5960" w:rsidRPr="00C34715" w:rsidRDefault="000B5960" w:rsidP="000B5960">
            <w:pPr>
              <w:rPr>
                <w:rFonts w:ascii="Arial" w:hAnsi="Arial" w:cs="Arial"/>
                <w:b/>
                <w:bCs/>
                <w:sz w:val="20"/>
                <w:szCs w:val="20"/>
              </w:rPr>
            </w:pPr>
            <w:r w:rsidRPr="00FE4697">
              <w:rPr>
                <w:rFonts w:ascii="Arial" w:hAnsi="Arial" w:cs="Arial"/>
                <w:b/>
                <w:bCs/>
                <w:sz w:val="20"/>
                <w:szCs w:val="20"/>
              </w:rPr>
              <w:t>EU Guarantee coverage provided to the Implementing Partner</w:t>
            </w:r>
          </w:p>
        </w:tc>
        <w:tc>
          <w:tcPr>
            <w:tcW w:w="6417" w:type="dxa"/>
          </w:tcPr>
          <w:p w14:paraId="1FCFE17A" w14:textId="77777777" w:rsidR="000B5960" w:rsidRPr="002E2899" w:rsidRDefault="00DA0614" w:rsidP="000B5960">
            <w:pPr>
              <w:tabs>
                <w:tab w:val="left" w:pos="915"/>
              </w:tabs>
              <w:autoSpaceDE w:val="0"/>
              <w:autoSpaceDN w:val="0"/>
              <w:adjustRightInd w:val="0"/>
              <w:rPr>
                <w:rFonts w:ascii="Arial" w:hAnsi="Arial" w:cs="Arial"/>
                <w:sz w:val="20"/>
                <w:szCs w:val="20"/>
              </w:rPr>
            </w:pPr>
            <w:sdt>
              <w:sdtPr>
                <w:rPr>
                  <w:rFonts w:ascii="Arial" w:hAnsi="Arial" w:cs="Arial"/>
                  <w:sz w:val="20"/>
                  <w:szCs w:val="20"/>
                </w:rPr>
                <w:id w:val="712303792"/>
                <w14:checkbox>
                  <w14:checked w14:val="1"/>
                  <w14:checkedState w14:val="2612" w14:font="MS Gothic"/>
                  <w14:uncheckedState w14:val="2610" w14:font="MS Gothic"/>
                </w14:checkbox>
              </w:sdtPr>
              <w:sdtEndPr/>
              <w:sdtContent>
                <w:r w:rsidR="000B5960" w:rsidRPr="002E2899">
                  <w:rPr>
                    <w:rFonts w:ascii="Segoe UI Symbol" w:eastAsia="MS Gothic" w:hAnsi="Segoe UI Symbol" w:cs="Segoe UI Symbol"/>
                    <w:sz w:val="20"/>
                    <w:szCs w:val="20"/>
                  </w:rPr>
                  <w:t>☒</w:t>
                </w:r>
              </w:sdtContent>
            </w:sdt>
            <w:r w:rsidR="000B5960" w:rsidRPr="002E2899">
              <w:rPr>
                <w:rFonts w:ascii="Arial" w:hAnsi="Arial" w:cs="Arial"/>
                <w:sz w:val="20"/>
                <w:szCs w:val="20"/>
              </w:rPr>
              <w:t xml:space="preserve">First Loss Contribution </w:t>
            </w:r>
          </w:p>
          <w:p w14:paraId="0509C132" w14:textId="77777777" w:rsidR="000B5960" w:rsidRPr="002E2899" w:rsidRDefault="00DA0614" w:rsidP="000B5960">
            <w:pPr>
              <w:tabs>
                <w:tab w:val="left" w:pos="915"/>
              </w:tabs>
              <w:autoSpaceDE w:val="0"/>
              <w:autoSpaceDN w:val="0"/>
              <w:adjustRightInd w:val="0"/>
              <w:rPr>
                <w:rFonts w:ascii="Arial" w:hAnsi="Arial" w:cs="Arial"/>
                <w:sz w:val="20"/>
                <w:szCs w:val="20"/>
              </w:rPr>
            </w:pPr>
            <w:sdt>
              <w:sdtPr>
                <w:rPr>
                  <w:rFonts w:ascii="Arial" w:hAnsi="Arial" w:cs="Arial"/>
                  <w:sz w:val="20"/>
                  <w:szCs w:val="20"/>
                </w:rPr>
                <w:id w:val="-1973824655"/>
                <w14:checkbox>
                  <w14:checked w14:val="1"/>
                  <w14:checkedState w14:val="2612" w14:font="MS Gothic"/>
                  <w14:uncheckedState w14:val="2610" w14:font="MS Gothic"/>
                </w14:checkbox>
              </w:sdtPr>
              <w:sdtEndPr/>
              <w:sdtContent>
                <w:r w:rsidR="000B5960">
                  <w:rPr>
                    <w:rFonts w:ascii="MS Gothic" w:eastAsia="MS Gothic" w:hAnsi="MS Gothic" w:cs="Arial" w:hint="eastAsia"/>
                    <w:sz w:val="20"/>
                    <w:szCs w:val="20"/>
                  </w:rPr>
                  <w:t>☒</w:t>
                </w:r>
              </w:sdtContent>
            </w:sdt>
            <w:r w:rsidR="000B5960" w:rsidRPr="00895923">
              <w:rPr>
                <w:rFonts w:ascii="Arial" w:hAnsi="Arial" w:cs="Arial"/>
                <w:sz w:val="20"/>
                <w:szCs w:val="20"/>
              </w:rPr>
              <w:t>Pari-passu</w:t>
            </w:r>
          </w:p>
          <w:p w14:paraId="6245444C" w14:textId="77777777" w:rsidR="000B5960" w:rsidRPr="00C34715" w:rsidRDefault="00DA0614" w:rsidP="000B5960">
            <w:pPr>
              <w:tabs>
                <w:tab w:val="left" w:pos="3330"/>
              </w:tabs>
              <w:autoSpaceDE w:val="0"/>
              <w:autoSpaceDN w:val="0"/>
              <w:adjustRightInd w:val="0"/>
              <w:rPr>
                <w:rFonts w:ascii="Arial" w:hAnsi="Arial" w:cs="Arial"/>
                <w:i/>
                <w:iCs/>
                <w:sz w:val="20"/>
                <w:szCs w:val="20"/>
              </w:rPr>
            </w:pPr>
            <w:sdt>
              <w:sdtPr>
                <w:rPr>
                  <w:rFonts w:ascii="Arial" w:hAnsi="Arial" w:cs="Arial"/>
                  <w:sz w:val="20"/>
                  <w:szCs w:val="20"/>
                </w:rPr>
                <w:id w:val="276921745"/>
                <w14:checkbox>
                  <w14:checked w14:val="1"/>
                  <w14:checkedState w14:val="2612" w14:font="MS Gothic"/>
                  <w14:uncheckedState w14:val="2610" w14:font="MS Gothic"/>
                </w14:checkbox>
              </w:sdtPr>
              <w:sdtEndPr/>
              <w:sdtContent>
                <w:r w:rsidR="000B5960">
                  <w:rPr>
                    <w:rFonts w:ascii="MS Gothic" w:eastAsia="MS Gothic" w:hAnsi="MS Gothic" w:cs="Segoe UI Symbol" w:hint="eastAsia"/>
                    <w:sz w:val="20"/>
                    <w:szCs w:val="20"/>
                  </w:rPr>
                  <w:t>☒</w:t>
                </w:r>
              </w:sdtContent>
            </w:sdt>
            <w:r w:rsidR="000B5960" w:rsidRPr="002E2899">
              <w:rPr>
                <w:rFonts w:ascii="Arial" w:hAnsi="Arial" w:cs="Arial"/>
                <w:sz w:val="20"/>
                <w:szCs w:val="20"/>
              </w:rPr>
              <w:t xml:space="preserve">Other </w:t>
            </w:r>
            <w:r w:rsidR="000B5960" w:rsidRPr="00540E3C">
              <w:rPr>
                <w:rFonts w:ascii="Arial" w:hAnsi="Arial" w:cs="Arial"/>
                <w:sz w:val="20"/>
                <w:szCs w:val="20"/>
              </w:rPr>
              <w:t xml:space="preserve">arrangements: </w:t>
            </w:r>
            <w:r w:rsidR="000B5960" w:rsidRPr="00895923">
              <w:rPr>
                <w:rFonts w:ascii="Arial" w:hAnsi="Arial" w:cs="Arial"/>
                <w:iCs/>
                <w:sz w:val="20"/>
                <w:szCs w:val="20"/>
              </w:rPr>
              <w:t>mezzanine</w:t>
            </w:r>
            <w:r w:rsidR="000B5960" w:rsidRPr="00540E3C">
              <w:rPr>
                <w:rFonts w:ascii="Arial" w:hAnsi="Arial" w:cs="Arial"/>
                <w:iCs/>
                <w:sz w:val="20"/>
                <w:szCs w:val="20"/>
              </w:rPr>
              <w:t xml:space="preserve"> coverage</w:t>
            </w:r>
            <w:r w:rsidR="000B5960" w:rsidRPr="00EC1F66">
              <w:rPr>
                <w:rFonts w:ascii="Arial" w:hAnsi="Arial" w:cs="Arial"/>
                <w:iCs/>
                <w:sz w:val="20"/>
                <w:szCs w:val="20"/>
              </w:rPr>
              <w:t xml:space="preserve"> </w:t>
            </w:r>
          </w:p>
          <w:p w14:paraId="165A0D1A" w14:textId="77777777" w:rsidR="000B5960" w:rsidRPr="002E2899" w:rsidRDefault="000B5960" w:rsidP="000B5960">
            <w:pPr>
              <w:tabs>
                <w:tab w:val="left" w:pos="3330"/>
              </w:tabs>
              <w:autoSpaceDE w:val="0"/>
              <w:autoSpaceDN w:val="0"/>
              <w:adjustRightInd w:val="0"/>
              <w:rPr>
                <w:rFonts w:ascii="Arial" w:hAnsi="Arial" w:cs="Arial"/>
                <w:i/>
                <w:sz w:val="20"/>
                <w:szCs w:val="20"/>
              </w:rPr>
            </w:pPr>
            <w:r>
              <w:rPr>
                <w:rFonts w:ascii="Arial" w:hAnsi="Arial" w:cs="Arial"/>
                <w:sz w:val="20"/>
                <w:szCs w:val="20"/>
              </w:rPr>
              <w:t>In line with section 14. The IP can select one or more of the options above.</w:t>
            </w:r>
          </w:p>
        </w:tc>
      </w:tr>
      <w:tr w:rsidR="000B5960" w:rsidRPr="002E2899" w14:paraId="68493129" w14:textId="77777777" w:rsidTr="000B5960">
        <w:trPr>
          <w:trHeight w:val="274"/>
        </w:trPr>
        <w:tc>
          <w:tcPr>
            <w:tcW w:w="1437" w:type="dxa"/>
          </w:tcPr>
          <w:p w14:paraId="2100A8D3" w14:textId="77777777" w:rsidR="000B5960" w:rsidRPr="00C34715" w:rsidRDefault="000B5960" w:rsidP="000B5960">
            <w:pPr>
              <w:rPr>
                <w:rFonts w:ascii="Arial" w:hAnsi="Arial" w:cs="Arial"/>
                <w:b/>
                <w:bCs/>
                <w:sz w:val="20"/>
                <w:szCs w:val="20"/>
              </w:rPr>
            </w:pPr>
            <w:r w:rsidRPr="00FE4697">
              <w:rPr>
                <w:rFonts w:ascii="Arial" w:hAnsi="Arial" w:cs="Arial"/>
                <w:b/>
                <w:bCs/>
                <w:sz w:val="20"/>
                <w:szCs w:val="20"/>
              </w:rPr>
              <w:t>18.</w:t>
            </w:r>
          </w:p>
        </w:tc>
        <w:tc>
          <w:tcPr>
            <w:tcW w:w="2494" w:type="dxa"/>
          </w:tcPr>
          <w:p w14:paraId="315965AB" w14:textId="77777777" w:rsidR="000B5960" w:rsidRPr="00C34715" w:rsidRDefault="000B5960" w:rsidP="000B5960">
            <w:pPr>
              <w:rPr>
                <w:rFonts w:ascii="Arial" w:hAnsi="Arial" w:cs="Arial"/>
                <w:b/>
                <w:bCs/>
                <w:sz w:val="20"/>
                <w:szCs w:val="20"/>
              </w:rPr>
            </w:pPr>
            <w:r w:rsidRPr="00FE4697">
              <w:rPr>
                <w:rFonts w:ascii="Arial" w:hAnsi="Arial" w:cs="Arial"/>
                <w:b/>
                <w:bCs/>
                <w:sz w:val="20"/>
                <w:szCs w:val="20"/>
              </w:rPr>
              <w:t>Risk Sharing with the Implementing Partner</w:t>
            </w:r>
          </w:p>
        </w:tc>
        <w:tc>
          <w:tcPr>
            <w:tcW w:w="6417" w:type="dxa"/>
          </w:tcPr>
          <w:p w14:paraId="4D9E21BE" w14:textId="77777777" w:rsidR="000B5960" w:rsidRPr="00F32C81" w:rsidRDefault="00DA0614" w:rsidP="000B5960">
            <w:pPr>
              <w:autoSpaceDE w:val="0"/>
              <w:autoSpaceDN w:val="0"/>
              <w:adjustRightInd w:val="0"/>
              <w:rPr>
                <w:rFonts w:ascii="Arial" w:hAnsi="Arial"/>
                <w:sz w:val="20"/>
                <w:szCs w:val="20"/>
              </w:rPr>
            </w:pPr>
            <w:sdt>
              <w:sdtPr>
                <w:rPr>
                  <w:rFonts w:ascii="Arial" w:hAnsi="Arial" w:cs="Arial"/>
                  <w:sz w:val="20"/>
                  <w:szCs w:val="20"/>
                </w:rPr>
                <w:id w:val="-918636485"/>
                <w14:checkbox>
                  <w14:checked w14:val="1"/>
                  <w14:checkedState w14:val="2612" w14:font="MS Gothic"/>
                  <w14:uncheckedState w14:val="2610" w14:font="MS Gothic"/>
                </w14:checkbox>
              </w:sdtPr>
              <w:sdtEndPr/>
              <w:sdtContent>
                <w:r w:rsidR="000B5960">
                  <w:rPr>
                    <w:rFonts w:ascii="MS Gothic" w:eastAsia="MS Gothic" w:hAnsi="MS Gothic" w:cs="Arial" w:hint="eastAsia"/>
                    <w:sz w:val="20"/>
                    <w:szCs w:val="20"/>
                  </w:rPr>
                  <w:t>☒</w:t>
                </w:r>
              </w:sdtContent>
            </w:sdt>
            <w:r w:rsidR="000B5960" w:rsidRPr="002E2899">
              <w:rPr>
                <w:rFonts w:ascii="Arial" w:hAnsi="Arial" w:cs="Arial"/>
                <w:sz w:val="20"/>
                <w:szCs w:val="20"/>
              </w:rPr>
              <w:t>Risk-sharing of First Loss piece: [5] % of contribution to PFLP by the Implementing Partner</w:t>
            </w:r>
          </w:p>
          <w:p w14:paraId="468160F2" w14:textId="77777777" w:rsidR="000B5960" w:rsidRPr="002E2899" w:rsidRDefault="00DA0614" w:rsidP="000B5960">
            <w:pPr>
              <w:autoSpaceDE w:val="0"/>
              <w:autoSpaceDN w:val="0"/>
              <w:adjustRightInd w:val="0"/>
              <w:rPr>
                <w:rFonts w:ascii="Arial" w:hAnsi="Arial" w:cs="Arial"/>
                <w:sz w:val="20"/>
                <w:szCs w:val="20"/>
              </w:rPr>
            </w:pPr>
            <w:sdt>
              <w:sdtPr>
                <w:rPr>
                  <w:rFonts w:ascii="Arial" w:hAnsi="Arial" w:cs="Arial"/>
                  <w:sz w:val="20"/>
                  <w:szCs w:val="20"/>
                </w:rPr>
                <w:id w:val="-1080057921"/>
                <w14:checkbox>
                  <w14:checked w14:val="1"/>
                  <w14:checkedState w14:val="2612" w14:font="MS Gothic"/>
                  <w14:uncheckedState w14:val="2610" w14:font="MS Gothic"/>
                </w14:checkbox>
              </w:sdtPr>
              <w:sdtEndPr/>
              <w:sdtContent>
                <w:r w:rsidR="000B5960" w:rsidRPr="002E2899">
                  <w:rPr>
                    <w:rFonts w:ascii="Segoe UI Symbol" w:eastAsia="MS Gothic" w:hAnsi="Segoe UI Symbol" w:cs="Segoe UI Symbol"/>
                    <w:sz w:val="20"/>
                    <w:szCs w:val="20"/>
                  </w:rPr>
                  <w:t>☒</w:t>
                </w:r>
              </w:sdtContent>
            </w:sdt>
            <w:r w:rsidR="000B5960" w:rsidRPr="002E2899">
              <w:rPr>
                <w:rFonts w:ascii="Arial" w:hAnsi="Arial" w:cs="Arial"/>
                <w:sz w:val="20"/>
                <w:szCs w:val="20"/>
              </w:rPr>
              <w:t>Residual Risk Tranche ('Second Loss Piece'): [100] % contribution by the Implementing Partner</w:t>
            </w:r>
          </w:p>
          <w:p w14:paraId="6C710578" w14:textId="77777777" w:rsidR="000B5960" w:rsidRPr="002E2899" w:rsidRDefault="00DA0614" w:rsidP="000B5960">
            <w:pPr>
              <w:tabs>
                <w:tab w:val="left" w:pos="915"/>
              </w:tabs>
              <w:autoSpaceDE w:val="0"/>
              <w:autoSpaceDN w:val="0"/>
              <w:adjustRightInd w:val="0"/>
              <w:rPr>
                <w:rFonts w:ascii="Arial" w:hAnsi="Arial" w:cs="Arial"/>
                <w:sz w:val="20"/>
                <w:szCs w:val="20"/>
              </w:rPr>
            </w:pPr>
            <w:sdt>
              <w:sdtPr>
                <w:rPr>
                  <w:rFonts w:ascii="Arial" w:hAnsi="Arial" w:cs="Arial"/>
                  <w:sz w:val="20"/>
                  <w:szCs w:val="20"/>
                </w:rPr>
                <w:id w:val="187805710"/>
                <w14:checkbox>
                  <w14:checked w14:val="1"/>
                  <w14:checkedState w14:val="2612" w14:font="MS Gothic"/>
                  <w14:uncheckedState w14:val="2610" w14:font="MS Gothic"/>
                </w14:checkbox>
              </w:sdtPr>
              <w:sdtEndPr/>
              <w:sdtContent>
                <w:r w:rsidR="000B5960">
                  <w:rPr>
                    <w:rFonts w:ascii="MS Gothic" w:eastAsia="MS Gothic" w:hAnsi="MS Gothic" w:cs="Segoe UI Symbol" w:hint="eastAsia"/>
                    <w:sz w:val="20"/>
                    <w:szCs w:val="20"/>
                  </w:rPr>
                  <w:t>☒</w:t>
                </w:r>
              </w:sdtContent>
            </w:sdt>
            <w:r w:rsidR="000B5960" w:rsidRPr="002E2899">
              <w:rPr>
                <w:rFonts w:ascii="Arial" w:hAnsi="Arial" w:cs="Arial"/>
                <w:sz w:val="20"/>
                <w:szCs w:val="20"/>
              </w:rPr>
              <w:t>Pari-passu for the whole instrument</w:t>
            </w:r>
          </w:p>
          <w:p w14:paraId="46EBB977" w14:textId="77777777" w:rsidR="000B5960" w:rsidRPr="00E83549" w:rsidRDefault="00DA0614" w:rsidP="000B5960">
            <w:pPr>
              <w:tabs>
                <w:tab w:val="left" w:pos="3330"/>
              </w:tabs>
              <w:autoSpaceDE w:val="0"/>
              <w:autoSpaceDN w:val="0"/>
              <w:adjustRightInd w:val="0"/>
              <w:rPr>
                <w:rFonts w:ascii="Arial" w:hAnsi="Arial" w:cs="Arial"/>
                <w:iCs/>
                <w:sz w:val="20"/>
                <w:szCs w:val="20"/>
              </w:rPr>
            </w:pPr>
            <w:sdt>
              <w:sdtPr>
                <w:rPr>
                  <w:rFonts w:ascii="Arial" w:hAnsi="Arial" w:cs="Arial"/>
                  <w:sz w:val="20"/>
                  <w:szCs w:val="20"/>
                </w:rPr>
                <w:id w:val="-969363359"/>
                <w14:checkbox>
                  <w14:checked w14:val="1"/>
                  <w14:checkedState w14:val="2612" w14:font="MS Gothic"/>
                  <w14:uncheckedState w14:val="2610" w14:font="MS Gothic"/>
                </w14:checkbox>
              </w:sdtPr>
              <w:sdtEndPr/>
              <w:sdtContent>
                <w:r w:rsidR="000B5960">
                  <w:rPr>
                    <w:rFonts w:ascii="MS Gothic" w:eastAsia="MS Gothic" w:hAnsi="MS Gothic" w:cs="Segoe UI Symbol" w:hint="eastAsia"/>
                    <w:sz w:val="20"/>
                    <w:szCs w:val="20"/>
                  </w:rPr>
                  <w:t>☒</w:t>
                </w:r>
              </w:sdtContent>
            </w:sdt>
            <w:r w:rsidR="000B5960" w:rsidRPr="002E2899">
              <w:rPr>
                <w:rFonts w:ascii="Arial" w:hAnsi="Arial" w:cs="Arial"/>
                <w:sz w:val="20"/>
                <w:szCs w:val="20"/>
              </w:rPr>
              <w:t>Other arrangements</w:t>
            </w:r>
            <w:r w:rsidR="000B5960" w:rsidRPr="00C573D9">
              <w:rPr>
                <w:rFonts w:ascii="Arial" w:hAnsi="Arial" w:cs="Arial"/>
                <w:iCs/>
                <w:sz w:val="20"/>
                <w:szCs w:val="20"/>
              </w:rPr>
              <w:t xml:space="preserve"> mezzanine</w:t>
            </w:r>
            <w:r w:rsidR="000B5960" w:rsidRPr="00540E3C">
              <w:rPr>
                <w:rFonts w:ascii="Arial" w:hAnsi="Arial" w:cs="Arial"/>
                <w:iCs/>
                <w:sz w:val="20"/>
                <w:szCs w:val="20"/>
              </w:rPr>
              <w:t xml:space="preserve"> coverage</w:t>
            </w:r>
            <w:r w:rsidR="000B5960">
              <w:rPr>
                <w:rFonts w:ascii="Arial" w:hAnsi="Arial" w:cs="Arial"/>
                <w:iCs/>
                <w:sz w:val="20"/>
                <w:szCs w:val="20"/>
              </w:rPr>
              <w:t xml:space="preserve">: </w:t>
            </w:r>
            <w:r w:rsidR="000B5960">
              <w:rPr>
                <w:rFonts w:ascii="Arial" w:hAnsi="Arial" w:cs="Arial"/>
                <w:i/>
                <w:iCs/>
                <w:sz w:val="20"/>
                <w:szCs w:val="20"/>
              </w:rPr>
              <w:t xml:space="preserve">IP covers the FLP and the EU Guarantee the mezzanine tranche. </w:t>
            </w:r>
          </w:p>
          <w:p w14:paraId="5C36E139" w14:textId="77777777" w:rsidR="000B5960" w:rsidRPr="002E2899" w:rsidRDefault="000B5960" w:rsidP="000B5960">
            <w:pPr>
              <w:tabs>
                <w:tab w:val="left" w:pos="3330"/>
              </w:tabs>
              <w:autoSpaceDE w:val="0"/>
              <w:autoSpaceDN w:val="0"/>
              <w:adjustRightInd w:val="0"/>
              <w:rPr>
                <w:rFonts w:ascii="Arial" w:hAnsi="Arial" w:cs="Arial"/>
                <w:i/>
                <w:sz w:val="20"/>
                <w:szCs w:val="20"/>
              </w:rPr>
            </w:pPr>
          </w:p>
          <w:p w14:paraId="406B1D20" w14:textId="77777777" w:rsidR="000B5960" w:rsidRPr="00C34715" w:rsidRDefault="000B5960" w:rsidP="000B5960">
            <w:pPr>
              <w:tabs>
                <w:tab w:val="left" w:pos="3330"/>
              </w:tabs>
              <w:autoSpaceDE w:val="0"/>
              <w:autoSpaceDN w:val="0"/>
              <w:adjustRightInd w:val="0"/>
              <w:rPr>
                <w:rFonts w:ascii="Arial" w:hAnsi="Arial" w:cs="Arial"/>
                <w:i/>
                <w:iCs/>
                <w:sz w:val="20"/>
                <w:szCs w:val="20"/>
              </w:rPr>
            </w:pPr>
            <w:r w:rsidRPr="00FE4697">
              <w:rPr>
                <w:rFonts w:ascii="Arial" w:hAnsi="Arial" w:cs="Arial"/>
                <w:i/>
                <w:iCs/>
                <w:sz w:val="20"/>
                <w:szCs w:val="20"/>
              </w:rPr>
              <w:t xml:space="preserve">[Revenue shall be shared between the EU Guarantee and the </w:t>
            </w:r>
            <w:r w:rsidRPr="001D4DDA">
              <w:rPr>
                <w:rFonts w:ascii="Arial" w:hAnsi="Arial" w:cs="Arial"/>
                <w:i/>
                <w:iCs/>
                <w:sz w:val="20"/>
                <w:szCs w:val="20"/>
              </w:rPr>
              <w:t>implementing partners or a guarantee fee shall by charged as defined in the guarantee agreement.]</w:t>
            </w:r>
            <w:r w:rsidRPr="00FE4697">
              <w:rPr>
                <w:rFonts w:ascii="Arial" w:hAnsi="Arial" w:cs="Arial"/>
                <w:i/>
                <w:iCs/>
                <w:sz w:val="20"/>
                <w:szCs w:val="20"/>
              </w:rPr>
              <w:t xml:space="preserve"> </w:t>
            </w:r>
          </w:p>
        </w:tc>
      </w:tr>
      <w:tr w:rsidR="000B5960" w:rsidRPr="00EF76D3" w14:paraId="0AFD38FF" w14:textId="77777777" w:rsidTr="000B5960">
        <w:trPr>
          <w:trHeight w:val="15583"/>
        </w:trPr>
        <w:tc>
          <w:tcPr>
            <w:tcW w:w="1437" w:type="dxa"/>
          </w:tcPr>
          <w:p w14:paraId="5AEFD83F" w14:textId="77777777" w:rsidR="000B5960" w:rsidRPr="00C34715" w:rsidRDefault="000B5960" w:rsidP="000B5960">
            <w:pPr>
              <w:rPr>
                <w:rFonts w:ascii="Arial" w:hAnsi="Arial" w:cs="Arial"/>
                <w:b/>
                <w:bCs/>
                <w:sz w:val="20"/>
                <w:szCs w:val="20"/>
              </w:rPr>
            </w:pPr>
            <w:r w:rsidRPr="00FE4697">
              <w:rPr>
                <w:rFonts w:ascii="Arial" w:hAnsi="Arial" w:cs="Arial"/>
                <w:b/>
                <w:bCs/>
                <w:sz w:val="20"/>
                <w:szCs w:val="20"/>
              </w:rPr>
              <w:lastRenderedPageBreak/>
              <w:t>19.</w:t>
            </w:r>
          </w:p>
        </w:tc>
        <w:tc>
          <w:tcPr>
            <w:tcW w:w="2494" w:type="dxa"/>
          </w:tcPr>
          <w:p w14:paraId="3E47C75F" w14:textId="77777777" w:rsidR="000B5960" w:rsidRPr="00C34715" w:rsidRDefault="000B5960" w:rsidP="000B5960">
            <w:pPr>
              <w:rPr>
                <w:rFonts w:ascii="Arial" w:hAnsi="Arial" w:cs="Arial"/>
                <w:b/>
                <w:bCs/>
                <w:sz w:val="20"/>
                <w:szCs w:val="20"/>
              </w:rPr>
            </w:pPr>
            <w:r w:rsidRPr="00FE4697">
              <w:rPr>
                <w:rFonts w:ascii="Arial" w:hAnsi="Arial" w:cs="Arial"/>
                <w:b/>
                <w:bCs/>
                <w:sz w:val="20"/>
                <w:szCs w:val="20"/>
              </w:rPr>
              <w:t>Structure / Features</w:t>
            </w:r>
          </w:p>
        </w:tc>
        <w:tc>
          <w:tcPr>
            <w:tcW w:w="6417" w:type="dxa"/>
          </w:tcPr>
          <w:p w14:paraId="62B86339" w14:textId="77777777" w:rsidR="000B5960" w:rsidRPr="003A19D4" w:rsidRDefault="000B5960" w:rsidP="000B5960">
            <w:pPr>
              <w:tabs>
                <w:tab w:val="left" w:pos="1605"/>
              </w:tabs>
              <w:autoSpaceDE w:val="0"/>
              <w:autoSpaceDN w:val="0"/>
              <w:adjustRightInd w:val="0"/>
              <w:rPr>
                <w:rFonts w:ascii="Arial" w:hAnsi="Arial" w:cs="Arial"/>
                <w:sz w:val="20"/>
                <w:szCs w:val="20"/>
                <w:u w:val="single"/>
              </w:rPr>
            </w:pPr>
            <w:r w:rsidRPr="003A19D4">
              <w:rPr>
                <w:rFonts w:ascii="Arial" w:hAnsi="Arial" w:cs="Arial"/>
                <w:sz w:val="20"/>
                <w:szCs w:val="20"/>
                <w:u w:val="single"/>
              </w:rPr>
              <w:t xml:space="preserve">Option 1 – Portfolio FLP: </w:t>
            </w:r>
          </w:p>
          <w:p w14:paraId="56C36822" w14:textId="77777777" w:rsidR="000B5960" w:rsidRPr="002E2899" w:rsidRDefault="000B5960" w:rsidP="000B5960">
            <w:pPr>
              <w:tabs>
                <w:tab w:val="left" w:pos="1605"/>
              </w:tabs>
              <w:autoSpaceDE w:val="0"/>
              <w:autoSpaceDN w:val="0"/>
              <w:adjustRightInd w:val="0"/>
              <w:rPr>
                <w:rFonts w:ascii="Arial" w:hAnsi="Arial" w:cs="Arial"/>
                <w:sz w:val="20"/>
                <w:szCs w:val="20"/>
              </w:rPr>
            </w:pPr>
            <w:r w:rsidRPr="002E2899">
              <w:rPr>
                <w:rFonts w:ascii="Arial" w:hAnsi="Arial" w:cs="Arial"/>
                <w:sz w:val="20"/>
                <w:szCs w:val="20"/>
              </w:rPr>
              <w:t xml:space="preserve">The EU shall provide up to [95%] of the contribution to PFLP for a debt standard portfolio constructed in line with the provisions of the guarantee agreement. The implementing partner shall contribute at least [5%] to the PFLP. </w:t>
            </w:r>
          </w:p>
          <w:p w14:paraId="217EC5CF" w14:textId="77777777" w:rsidR="000B5960" w:rsidRPr="002E2899" w:rsidRDefault="000B5960" w:rsidP="000B5960">
            <w:pPr>
              <w:tabs>
                <w:tab w:val="left" w:pos="1605"/>
              </w:tabs>
              <w:autoSpaceDE w:val="0"/>
              <w:autoSpaceDN w:val="0"/>
              <w:adjustRightInd w:val="0"/>
              <w:rPr>
                <w:rFonts w:ascii="Arial" w:hAnsi="Arial" w:cs="Arial"/>
                <w:sz w:val="20"/>
                <w:szCs w:val="20"/>
              </w:rPr>
            </w:pPr>
          </w:p>
          <w:p w14:paraId="1777476E" w14:textId="77777777" w:rsidR="000B5960" w:rsidRPr="002E2899" w:rsidRDefault="000B5960" w:rsidP="000B5960">
            <w:pPr>
              <w:tabs>
                <w:tab w:val="left" w:pos="1605"/>
              </w:tabs>
              <w:autoSpaceDE w:val="0"/>
              <w:autoSpaceDN w:val="0"/>
              <w:adjustRightInd w:val="0"/>
              <w:rPr>
                <w:rFonts w:ascii="Arial" w:hAnsi="Arial" w:cs="Arial"/>
                <w:sz w:val="20"/>
                <w:szCs w:val="20"/>
              </w:rPr>
            </w:pPr>
            <w:r w:rsidRPr="002E2899">
              <w:rPr>
                <w:rFonts w:ascii="Arial" w:hAnsi="Arial" w:cs="Arial"/>
                <w:sz w:val="20"/>
                <w:szCs w:val="20"/>
              </w:rPr>
              <w:t xml:space="preserve">The contributions to the PFLP for specific operations could differ based </w:t>
            </w:r>
            <w:r>
              <w:rPr>
                <w:rFonts w:ascii="Arial" w:hAnsi="Arial" w:cs="Arial"/>
                <w:sz w:val="20"/>
                <w:szCs w:val="20"/>
              </w:rPr>
              <w:t xml:space="preserve">on the </w:t>
            </w:r>
            <w:r w:rsidRPr="002E2899">
              <w:rPr>
                <w:rFonts w:ascii="Arial" w:hAnsi="Arial" w:cs="Arial"/>
                <w:sz w:val="20"/>
                <w:szCs w:val="20"/>
              </w:rPr>
              <w:t>riskiness of the underlying projects</w:t>
            </w:r>
            <w:r>
              <w:rPr>
                <w:rFonts w:ascii="Arial" w:hAnsi="Arial" w:cs="Arial"/>
                <w:sz w:val="20"/>
                <w:szCs w:val="20"/>
              </w:rPr>
              <w:t>, policy prioritisation as per Section 6.a</w:t>
            </w:r>
            <w:r w:rsidRPr="002E2899">
              <w:rPr>
                <w:rFonts w:ascii="Arial" w:hAnsi="Arial" w:cs="Arial"/>
                <w:sz w:val="20"/>
                <w:szCs w:val="20"/>
              </w:rPr>
              <w:t xml:space="preserve"> and counterparts</w:t>
            </w:r>
            <w:r>
              <w:rPr>
                <w:rFonts w:ascii="Arial" w:hAnsi="Arial" w:cs="Arial"/>
                <w:sz w:val="20"/>
                <w:szCs w:val="20"/>
              </w:rPr>
              <w:t xml:space="preserve">, and </w:t>
            </w:r>
            <w:r w:rsidRPr="002E2899">
              <w:rPr>
                <w:rFonts w:ascii="Arial" w:hAnsi="Arial" w:cs="Arial"/>
                <w:sz w:val="20"/>
                <w:szCs w:val="20"/>
              </w:rPr>
              <w:t xml:space="preserve">will allow for a progressive increase of the </w:t>
            </w:r>
            <w:r>
              <w:rPr>
                <w:rFonts w:ascii="Arial" w:hAnsi="Arial" w:cs="Arial"/>
                <w:sz w:val="20"/>
                <w:szCs w:val="20"/>
              </w:rPr>
              <w:t xml:space="preserve">PFLP in line with the </w:t>
            </w:r>
            <w:r w:rsidRPr="002E2899">
              <w:rPr>
                <w:rFonts w:ascii="Arial" w:hAnsi="Arial" w:cs="Arial"/>
                <w:sz w:val="20"/>
                <w:szCs w:val="20"/>
              </w:rPr>
              <w:t xml:space="preserve">increase of the </w:t>
            </w:r>
            <w:r>
              <w:rPr>
                <w:rFonts w:ascii="Arial" w:hAnsi="Arial" w:cs="Arial"/>
                <w:sz w:val="20"/>
                <w:szCs w:val="20"/>
              </w:rPr>
              <w:t>guaranteed portfolio</w:t>
            </w:r>
            <w:r w:rsidRPr="002E2899">
              <w:rPr>
                <w:rFonts w:ascii="Arial" w:hAnsi="Arial" w:cs="Arial"/>
                <w:sz w:val="20"/>
                <w:szCs w:val="20"/>
              </w:rPr>
              <w:t>.</w:t>
            </w:r>
            <w:r>
              <w:rPr>
                <w:rFonts w:ascii="Arial" w:hAnsi="Arial" w:cs="Arial"/>
                <w:sz w:val="20"/>
                <w:szCs w:val="20"/>
              </w:rPr>
              <w:t xml:space="preserve"> </w:t>
            </w:r>
          </w:p>
          <w:p w14:paraId="55FC0766" w14:textId="77777777" w:rsidR="000B5960" w:rsidRPr="002E2899" w:rsidRDefault="000B5960" w:rsidP="000B5960">
            <w:pPr>
              <w:rPr>
                <w:rFonts w:ascii="Arial" w:hAnsi="Arial" w:cs="Arial"/>
                <w:i/>
                <w:sz w:val="20"/>
                <w:szCs w:val="20"/>
              </w:rPr>
            </w:pPr>
          </w:p>
          <w:p w14:paraId="40B4B5FC" w14:textId="77777777" w:rsidR="000B5960" w:rsidRPr="002E2899" w:rsidRDefault="000B5960" w:rsidP="000B5960">
            <w:pPr>
              <w:rPr>
                <w:rFonts w:ascii="Arial" w:hAnsi="Arial" w:cs="Arial"/>
                <w:i/>
                <w:sz w:val="20"/>
                <w:szCs w:val="20"/>
              </w:rPr>
            </w:pPr>
          </w:p>
          <w:p w14:paraId="6FB66DE5" w14:textId="77777777" w:rsidR="000B5960" w:rsidRDefault="000B5960" w:rsidP="000B5960">
            <w:pPr>
              <w:rPr>
                <w:rFonts w:ascii="Arial" w:hAnsi="Arial" w:cs="Arial"/>
                <w:i/>
                <w:sz w:val="20"/>
                <w:szCs w:val="20"/>
              </w:rPr>
            </w:pPr>
            <w:r>
              <w:rPr>
                <w:rFonts w:ascii="Arial" w:hAnsi="Arial" w:cs="Arial"/>
                <w:i/>
                <w:noProof/>
                <w:sz w:val="20"/>
                <w:szCs w:val="20"/>
                <w:lang w:eastAsia="en-GB"/>
              </w:rPr>
              <mc:AlternateContent>
                <mc:Choice Requires="wpg">
                  <w:drawing>
                    <wp:anchor distT="0" distB="0" distL="114300" distR="114300" simplePos="0" relativeHeight="251659264" behindDoc="0" locked="0" layoutInCell="1" allowOverlap="1" wp14:anchorId="5F09D8B6" wp14:editId="17CBA8BE">
                      <wp:simplePos x="0" y="0"/>
                      <wp:positionH relativeFrom="column">
                        <wp:posOffset>508635</wp:posOffset>
                      </wp:positionH>
                      <wp:positionV relativeFrom="paragraph">
                        <wp:posOffset>2540</wp:posOffset>
                      </wp:positionV>
                      <wp:extent cx="3107690" cy="973366"/>
                      <wp:effectExtent l="0" t="0" r="16510" b="17780"/>
                      <wp:wrapTopAndBottom/>
                      <wp:docPr id="2" name="Group 2"/>
                      <wp:cNvGraphicFramePr/>
                      <a:graphic xmlns:a="http://schemas.openxmlformats.org/drawingml/2006/main">
                        <a:graphicData uri="http://schemas.microsoft.com/office/word/2010/wordprocessingGroup">
                          <wpg:wgp>
                            <wpg:cNvGrpSpPr/>
                            <wpg:grpSpPr>
                              <a:xfrm>
                                <a:off x="0" y="0"/>
                                <a:ext cx="3107690" cy="973366"/>
                                <a:chOff x="0" y="0"/>
                                <a:chExt cx="3108324" cy="973599"/>
                              </a:xfrm>
                            </wpg:grpSpPr>
                            <wps:wsp>
                              <wps:cNvPr id="3" name="Rechteck 8">
                                <a:extLst>
                                  <a:ext uri="{FF2B5EF4-FFF2-40B4-BE49-F238E27FC236}">
                                    <a16:creationId xmlns:a16="http://schemas.microsoft.com/office/drawing/2014/main" id="{2816483D-6D24-4ECF-B9ED-BB04C86E4C76}"/>
                                  </a:ext>
                                </a:extLst>
                              </wps:cNvPr>
                              <wps:cNvSpPr/>
                              <wps:spPr>
                                <a:xfrm>
                                  <a:off x="0" y="0"/>
                                  <a:ext cx="1073785" cy="620053"/>
                                </a:xfrm>
                                <a:prstGeom prst="rect">
                                  <a:avLst/>
                                </a:prstGeom>
                                <a:solidFill>
                                  <a:srgbClr val="EEECE1"/>
                                </a:solidFill>
                                <a:ln w="9525" cap="flat" cmpd="sng" algn="ctr">
                                  <a:solidFill>
                                    <a:srgbClr val="385D8A"/>
                                  </a:solidFill>
                                  <a:prstDash val="solid"/>
                                </a:ln>
                                <a:effectLst/>
                              </wps:spPr>
                              <wps:txbx>
                                <w:txbxContent>
                                  <w:p w14:paraId="05760BAC" w14:textId="77777777" w:rsidR="000B5960" w:rsidRPr="00B16E95" w:rsidRDefault="000B5960" w:rsidP="000B5960">
                                    <w:pPr>
                                      <w:jc w:val="center"/>
                                      <w:rPr>
                                        <w:sz w:val="14"/>
                                      </w:rPr>
                                    </w:pPr>
                                    <w:r w:rsidRPr="00B16E95">
                                      <w:rPr>
                                        <w:sz w:val="14"/>
                                      </w:rPr>
                                      <w:t xml:space="preserve">Retained by Implementing Partner </w:t>
                                    </w:r>
                                  </w:p>
                                  <w:p w14:paraId="1CAA8972" w14:textId="77777777" w:rsidR="000B5960" w:rsidRDefault="000B5960" w:rsidP="000B5960">
                                    <w:pPr>
                                      <w:jc w:val="center"/>
                                    </w:pPr>
                                  </w:p>
                                </w:txbxContent>
                              </wps:txbx>
                              <wps:bodyPr rtlCol="0" anchor="ctr">
                                <a:noAutofit/>
                              </wps:bodyPr>
                            </wps:wsp>
                            <wps:wsp>
                              <wps:cNvPr id="4" name="Rechteck 9">
                                <a:extLst>
                                  <a:ext uri="{FF2B5EF4-FFF2-40B4-BE49-F238E27FC236}">
                                    <a16:creationId xmlns:a16="http://schemas.microsoft.com/office/drawing/2014/main" id="{31A292F8-0BED-4FEC-A2AB-12E813BAB4E8}"/>
                                  </a:ext>
                                </a:extLst>
                              </wps:cNvPr>
                              <wps:cNvSpPr/>
                              <wps:spPr>
                                <a:xfrm>
                                  <a:off x="0" y="627912"/>
                                  <a:ext cx="855677" cy="345145"/>
                                </a:xfrm>
                                <a:prstGeom prst="rect">
                                  <a:avLst/>
                                </a:prstGeom>
                                <a:solidFill>
                                  <a:srgbClr val="4F81BD"/>
                                </a:solidFill>
                                <a:ln w="12700" cap="flat" cmpd="sng" algn="ctr">
                                  <a:solidFill>
                                    <a:srgbClr val="4F81BD">
                                      <a:shade val="50000"/>
                                    </a:srgbClr>
                                  </a:solidFill>
                                  <a:prstDash val="solid"/>
                                </a:ln>
                                <a:effectLst/>
                              </wps:spPr>
                              <wps:txbx>
                                <w:txbxContent>
                                  <w:p w14:paraId="5567AA96" w14:textId="77777777" w:rsidR="000B5960" w:rsidRDefault="000B5960" w:rsidP="000B5960">
                                    <w:pPr>
                                      <w:pStyle w:val="BalloonText"/>
                                      <w:jc w:val="center"/>
                                    </w:pPr>
                                    <w:r>
                                      <w:rPr>
                                        <w:rFonts w:ascii="Calibri" w:hAnsi="Calibri" w:cstheme="minorBidi"/>
                                        <w:color w:val="FFFFFF"/>
                                        <w:sz w:val="14"/>
                                        <w:szCs w:val="14"/>
                                      </w:rPr>
                                      <w:t>Covered by InvestEU guarantee</w:t>
                                    </w:r>
                                  </w:p>
                                </w:txbxContent>
                              </wps:txbx>
                              <wps:bodyPr wrap="square" rtlCol="0" anchor="ctr">
                                <a:noAutofit/>
                              </wps:bodyPr>
                            </wps:wsp>
                            <wps:wsp>
                              <wps:cNvPr id="5" name="Rechteck 10">
                                <a:extLst>
                                  <a:ext uri="{FF2B5EF4-FFF2-40B4-BE49-F238E27FC236}">
                                    <a16:creationId xmlns:a16="http://schemas.microsoft.com/office/drawing/2014/main" id="{E8347D96-06C3-4CDD-AC07-27E216FF3F2D}"/>
                                  </a:ext>
                                </a:extLst>
                              </wps:cNvPr>
                              <wps:cNvSpPr/>
                              <wps:spPr>
                                <a:xfrm>
                                  <a:off x="858740" y="620202"/>
                                  <a:ext cx="218108" cy="353397"/>
                                </a:xfrm>
                                <a:prstGeom prst="rect">
                                  <a:avLst/>
                                </a:prstGeom>
                                <a:solidFill>
                                  <a:schemeClr val="bg2">
                                    <a:lumMod val="90000"/>
                                    <a:alpha val="50000"/>
                                  </a:schemeClr>
                                </a:solidFill>
                                <a:ln>
                                  <a:solidFill>
                                    <a:srgbClr val="385D8A"/>
                                  </a:solidFill>
                                </a:ln>
                                <a:effectLst/>
                              </wps:spPr>
                              <wps:txbx>
                                <w:txbxContent>
                                  <w:p w14:paraId="050823F9" w14:textId="77777777" w:rsidR="000B5960" w:rsidRPr="00F06897" w:rsidRDefault="000B5960" w:rsidP="000B5960">
                                    <w:pPr>
                                      <w:jc w:val="center"/>
                                      <w:rPr>
                                        <w:sz w:val="14"/>
                                      </w:rPr>
                                    </w:pPr>
                                  </w:p>
                                </w:txbxContent>
                              </wps:txbx>
                              <wps:bodyPr rtlCol="0" anchor="ctr"/>
                            </wps:wsp>
                            <wps:wsp>
                              <wps:cNvPr id="6" name="Rechteck 14">
                                <a:extLst>
                                  <a:ext uri="{FF2B5EF4-FFF2-40B4-BE49-F238E27FC236}">
                                    <a16:creationId xmlns:a16="http://schemas.microsoft.com/office/drawing/2014/main" id="{5673F69B-3C8E-48D6-81A3-0C6961D14CF2}"/>
                                  </a:ext>
                                </a:extLst>
                              </wps:cNvPr>
                              <wps:cNvSpPr/>
                              <wps:spPr>
                                <a:xfrm>
                                  <a:off x="1245844" y="0"/>
                                  <a:ext cx="1862480" cy="405548"/>
                                </a:xfrm>
                                <a:prstGeom prst="rect">
                                  <a:avLst/>
                                </a:prstGeom>
                                <a:solidFill>
                                  <a:sysClr val="window" lastClr="FFFFFF">
                                    <a:alpha val="0"/>
                                  </a:sysClr>
                                </a:solidFill>
                                <a:ln w="9525" cap="flat" cmpd="sng" algn="ctr">
                                  <a:solidFill>
                                    <a:srgbClr val="4F81BD">
                                      <a:shade val="50000"/>
                                    </a:srgbClr>
                                  </a:solidFill>
                                  <a:prstDash val="solid"/>
                                </a:ln>
                                <a:effectLst/>
                              </wps:spPr>
                              <wps:txbx>
                                <w:txbxContent>
                                  <w:p w14:paraId="2458B504" w14:textId="77777777" w:rsidR="000B5960" w:rsidRDefault="000B5960" w:rsidP="000B5960">
                                    <w:pPr>
                                      <w:pStyle w:val="BalloonText"/>
                                    </w:pPr>
                                    <w:r>
                                      <w:rPr>
                                        <w:rFonts w:ascii="Calibri" w:hAnsi="Calibri" w:cstheme="minorBidi"/>
                                        <w:color w:val="1F497D"/>
                                        <w:sz w:val="16"/>
                                        <w:szCs w:val="16"/>
                                      </w:rPr>
                                      <w:t>Residual loss (retained by IP)</w:t>
                                    </w:r>
                                  </w:p>
                                </w:txbxContent>
                              </wps:txbx>
                              <wps:bodyPr wrap="square" rtlCol="0" anchor="ctr"/>
                            </wps:wsp>
                            <wps:wsp>
                              <wps:cNvPr id="7" name="Rechteck 15">
                                <a:extLst>
                                  <a:ext uri="{FF2B5EF4-FFF2-40B4-BE49-F238E27FC236}">
                                    <a16:creationId xmlns:a16="http://schemas.microsoft.com/office/drawing/2014/main" id="{1F715EC2-F233-4E82-8DF1-F9BB8D360015}"/>
                                  </a:ext>
                                </a:extLst>
                              </wps:cNvPr>
                              <wps:cNvSpPr/>
                              <wps:spPr>
                                <a:xfrm>
                                  <a:off x="1240004" y="618750"/>
                                  <a:ext cx="1868320" cy="354333"/>
                                </a:xfrm>
                                <a:prstGeom prst="rect">
                                  <a:avLst/>
                                </a:prstGeom>
                                <a:solidFill>
                                  <a:sysClr val="window" lastClr="FFFFFF">
                                    <a:alpha val="0"/>
                                  </a:sysClr>
                                </a:solidFill>
                                <a:ln w="9525" cap="flat" cmpd="sng" algn="ctr">
                                  <a:solidFill>
                                    <a:srgbClr val="4F81BD">
                                      <a:shade val="50000"/>
                                    </a:srgbClr>
                                  </a:solidFill>
                                  <a:prstDash val="solid"/>
                                </a:ln>
                                <a:effectLst/>
                              </wps:spPr>
                              <wps:txbx>
                                <w:txbxContent>
                                  <w:p w14:paraId="7A251EB6" w14:textId="77777777" w:rsidR="000B5960" w:rsidRDefault="000B5960" w:rsidP="000B5960">
                                    <w:pPr>
                                      <w:pStyle w:val="BalloonText"/>
                                    </w:pPr>
                                    <w:r>
                                      <w:rPr>
                                        <w:rFonts w:ascii="Calibri" w:eastAsia="+mn-ea" w:hAnsi="Calibri" w:cs="+mn-cs"/>
                                        <w:color w:val="1F497D"/>
                                        <w:sz w:val="16"/>
                                        <w:szCs w:val="16"/>
                                      </w:rPr>
                                      <w:t>First-loss (approx. 20%): EU Guarantee up to [95%]; IP min. [5%]</w:t>
                                    </w:r>
                                  </w:p>
                                  <w:p w14:paraId="7D181829" w14:textId="77777777" w:rsidR="000B5960" w:rsidRDefault="000B5960" w:rsidP="000B5960">
                                    <w:pPr>
                                      <w:pStyle w:val="ListParagraph"/>
                                      <w:spacing w:after="0" w:line="240" w:lineRule="auto"/>
                                      <w:rPr>
                                        <w:rFonts w:eastAsia="Times New Roman"/>
                                        <w:sz w:val="16"/>
                                      </w:rPr>
                                    </w:pPr>
                                  </w:p>
                                </w:txbxContent>
                              </wps:txbx>
                              <wps:bodyPr wrap="square" rtlCol="0" anchor="ctr">
                                <a:noAutofit/>
                              </wps:bodyPr>
                            </wps:wsp>
                          </wpg:wgp>
                        </a:graphicData>
                      </a:graphic>
                      <wp14:sizeRelH relativeFrom="margin">
                        <wp14:pctWidth>0</wp14:pctWidth>
                      </wp14:sizeRelH>
                      <wp14:sizeRelV relativeFrom="margin">
                        <wp14:pctHeight>0</wp14:pctHeight>
                      </wp14:sizeRelV>
                    </wp:anchor>
                  </w:drawing>
                </mc:Choice>
                <mc:Fallback>
                  <w:pict>
                    <v:group w14:anchorId="5F09D8B6" id="Group 2" o:spid="_x0000_s1026" style="position:absolute;left:0;text-align:left;margin-left:40.05pt;margin-top:.2pt;width:244.7pt;height:76.65pt;z-index:251659264;mso-width-relative:margin;mso-height-relative:margin" coordsize="31083,9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">
                      <v:rect id="Rechteck 8" o:spid="_x0000_s1027" style="position:absolute;width:10737;height:6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" fillcolor="#eeece1" strokecolor="#385d8a">
                        <v:textbox>
                          <w:txbxContent>
                            <w:p w14:paraId="05760BAC" w14:textId="77777777" w:rsidR="000B5960" w:rsidRPr="00B16E95" w:rsidRDefault="000B5960" w:rsidP="000B5960">
                              <w:pPr>
                                <w:jc w:val="center"/>
                                <w:rPr>
                                  <w:sz w:val="14"/>
                                </w:rPr>
                              </w:pPr>
                              <w:r w:rsidRPr="00B16E95">
                                <w:rPr>
                                  <w:sz w:val="14"/>
                                </w:rPr>
                                <w:t xml:space="preserve">Retained by Implementing Partner </w:t>
                              </w:r>
                            </w:p>
                            <w:p w14:paraId="1CAA8972" w14:textId="77777777" w:rsidR="000B5960" w:rsidRDefault="000B5960" w:rsidP="000B5960">
                              <w:pPr>
                                <w:jc w:val="center"/>
                              </w:pPr>
                            </w:p>
                          </w:txbxContent>
                        </v:textbox>
                      </v:rect>
                      <v:rect id="Rechteck 9" o:spid="_x0000_s1028" style="position:absolute;top:6279;width:8556;height:3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" fillcolor="#4f81bd" strokecolor="#385d8a" strokeweight="1pt">
                        <v:textbox>
                          <w:txbxContent>
                            <w:p w14:paraId="5567AA96" w14:textId="77777777" w:rsidR="000B5960" w:rsidRDefault="000B5960" w:rsidP="000B5960">
                              <w:pPr>
                                <w:pStyle w:val="BalloonText"/>
                                <w:jc w:val="center"/>
                              </w:pPr>
                              <w:r>
                                <w:rPr>
                                  <w:rFonts w:ascii="Calibri" w:hAnsi="Calibri" w:cstheme="minorBidi"/>
                                  <w:color w:val="FFFFFF"/>
                                  <w:sz w:val="14"/>
                                  <w:szCs w:val="14"/>
                                </w:rPr>
                                <w:t>Covered by InvestEU guarantee</w:t>
                              </w:r>
                            </w:p>
                          </w:txbxContent>
                        </v:textbox>
                      </v:rect>
                      <v:rect id="Rechteck 10" o:spid="_x0000_s1029" style="position:absolute;left:8587;top:6202;width:2181;height:35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" fillcolor="#ddd8c2 [2894]" strokecolor="#385d8a">
                        <v:fill opacity="32896f"/>
                        <v:textbox>
                          <w:txbxContent>
                            <w:p w14:paraId="050823F9" w14:textId="77777777" w:rsidR="000B5960" w:rsidRPr="00F06897" w:rsidRDefault="000B5960" w:rsidP="000B5960">
                              <w:pPr>
                                <w:jc w:val="center"/>
                                <w:rPr>
                                  <w:sz w:val="14"/>
                                </w:rPr>
                              </w:pPr>
                            </w:p>
                          </w:txbxContent>
                        </v:textbox>
                      </v:rect>
                      <v:rect id="Rechteck 14" o:spid="_x0000_s1030" style="position:absolute;left:12458;width:18625;height:40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" fillcolor="window" strokecolor="#385d8a">
                        <v:fill opacity="0"/>
                        <v:textbox>
                          <w:txbxContent>
                            <w:p w14:paraId="2458B504" w14:textId="77777777" w:rsidR="000B5960" w:rsidRDefault="000B5960" w:rsidP="000B5960">
                              <w:pPr>
                                <w:pStyle w:val="BalloonText"/>
                              </w:pPr>
                              <w:r>
                                <w:rPr>
                                  <w:rFonts w:ascii="Calibri" w:hAnsi="Calibri" w:cstheme="minorBidi"/>
                                  <w:color w:val="1F497D"/>
                                  <w:sz w:val="16"/>
                                  <w:szCs w:val="16"/>
                                </w:rPr>
                                <w:t>Residual loss (retained by IP)</w:t>
                              </w:r>
                            </w:p>
                          </w:txbxContent>
                        </v:textbox>
                      </v:rect>
                      <v:rect id="Rechteck 15" o:spid="_x0000_s1031" style="position:absolute;left:12400;top:6187;width:18683;height:35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" fillcolor="window" strokecolor="#385d8a">
                        <v:fill opacity="0"/>
                        <v:textbox>
                          <w:txbxContent>
                            <w:p w14:paraId="7A251EB6" w14:textId="77777777" w:rsidR="000B5960" w:rsidRDefault="000B5960" w:rsidP="000B5960">
                              <w:pPr>
                                <w:pStyle w:val="BalloonText"/>
                              </w:pPr>
                              <w:r>
                                <w:rPr>
                                  <w:rFonts w:ascii="Calibri" w:eastAsia="+mn-ea" w:hAnsi="Calibri" w:cs="+mn-cs"/>
                                  <w:color w:val="1F497D"/>
                                  <w:sz w:val="16"/>
                                  <w:szCs w:val="16"/>
                                </w:rPr>
                                <w:t>First-loss (approx. 20%): EU Guarantee up to [95%]; IP min. [5%]</w:t>
                              </w:r>
                            </w:p>
                            <w:p w14:paraId="7D181829" w14:textId="77777777" w:rsidR="000B5960" w:rsidRDefault="000B5960" w:rsidP="000B5960">
                              <w:pPr>
                                <w:pStyle w:val="ListParagraph"/>
                                <w:spacing w:after="0" w:line="240" w:lineRule="auto"/>
                                <w:rPr>
                                  <w:rFonts w:eastAsia="Times New Roman"/>
                                  <w:sz w:val="16"/>
                                </w:rPr>
                              </w:pPr>
                            </w:p>
                          </w:txbxContent>
                        </v:textbox>
                      </v:rect>
                      <w10:wrap type="topAndBottom"/>
                    </v:group>
                  </w:pict>
                </mc:Fallback>
              </mc:AlternateContent>
            </w:r>
          </w:p>
          <w:p w14:paraId="44A2D2DE" w14:textId="77777777" w:rsidR="000B5960" w:rsidRPr="00AE6A54" w:rsidRDefault="000B5960" w:rsidP="000B5960">
            <w:pPr>
              <w:rPr>
                <w:rFonts w:ascii="Arial" w:hAnsi="Arial" w:cs="Arial"/>
                <w:i/>
                <w:sz w:val="20"/>
                <w:szCs w:val="20"/>
                <w:u w:val="single"/>
              </w:rPr>
            </w:pPr>
            <w:r w:rsidRPr="00AE6A54">
              <w:rPr>
                <w:rFonts w:ascii="Arial" w:hAnsi="Arial" w:cs="Arial"/>
                <w:i/>
                <w:sz w:val="20"/>
                <w:szCs w:val="20"/>
                <w:u w:val="single"/>
              </w:rPr>
              <w:t>Option 2 – pari passu</w:t>
            </w:r>
          </w:p>
          <w:p w14:paraId="35805F0C" w14:textId="77777777" w:rsidR="000B5960" w:rsidRDefault="000B5960" w:rsidP="000B5960">
            <w:pPr>
              <w:rPr>
                <w:rFonts w:ascii="Arial" w:hAnsi="Arial" w:cs="Arial"/>
                <w:sz w:val="20"/>
                <w:szCs w:val="20"/>
              </w:rPr>
            </w:pPr>
            <w:r w:rsidRPr="00E16F91">
              <w:rPr>
                <w:rFonts w:ascii="Arial" w:hAnsi="Arial" w:cs="Arial"/>
                <w:sz w:val="20"/>
                <w:szCs w:val="20"/>
              </w:rPr>
              <w:t>The EU guarantee shall partly cover individual opera</w:t>
            </w:r>
            <w:r>
              <w:rPr>
                <w:rFonts w:ascii="Arial" w:hAnsi="Arial" w:cs="Arial"/>
                <w:sz w:val="20"/>
                <w:szCs w:val="20"/>
              </w:rPr>
              <w:t>tions on a pari passu basis. T</w:t>
            </w:r>
            <w:r w:rsidRPr="00E16F91">
              <w:rPr>
                <w:rFonts w:ascii="Arial" w:hAnsi="Arial" w:cs="Arial"/>
                <w:sz w:val="20"/>
                <w:szCs w:val="20"/>
              </w:rPr>
              <w:t xml:space="preserve">he maximum exposure of the EU guarantee on an individual operation is </w:t>
            </w:r>
            <w:r>
              <w:rPr>
                <w:rFonts w:ascii="Arial" w:hAnsi="Arial" w:cs="Arial"/>
                <w:sz w:val="20"/>
                <w:szCs w:val="20"/>
              </w:rPr>
              <w:t>50</w:t>
            </w:r>
            <w:r w:rsidRPr="00E16F91">
              <w:rPr>
                <w:rFonts w:ascii="Arial" w:hAnsi="Arial" w:cs="Arial"/>
                <w:sz w:val="20"/>
                <w:szCs w:val="20"/>
              </w:rPr>
              <w:t>% of the financing provided by the IP.</w:t>
            </w:r>
          </w:p>
          <w:p w14:paraId="18CB2561" w14:textId="77777777" w:rsidR="000B5960" w:rsidRPr="00640FB3" w:rsidRDefault="000B5960" w:rsidP="000B5960">
            <w:pPr>
              <w:rPr>
                <w:rFonts w:ascii="Arial" w:hAnsi="Arial" w:cs="Arial"/>
                <w:sz w:val="20"/>
                <w:szCs w:val="20"/>
              </w:rPr>
            </w:pPr>
            <w:r>
              <w:rPr>
                <w:rFonts w:ascii="Arial" w:hAnsi="Arial" w:cs="Arial"/>
                <w:sz w:val="20"/>
                <w:szCs w:val="20"/>
              </w:rPr>
              <w:t xml:space="preserve">Residual risk is covered by the IP on a pari passu basis. </w:t>
            </w:r>
          </w:p>
          <w:p w14:paraId="4465C1CB" w14:textId="77777777" w:rsidR="000B5960" w:rsidRPr="00EF76D3" w:rsidRDefault="000B5960" w:rsidP="000B5960">
            <w:pPr>
              <w:rPr>
                <w:rFonts w:ascii="Arial" w:hAnsi="Arial" w:cs="Arial"/>
                <w:i/>
                <w:sz w:val="20"/>
                <w:szCs w:val="20"/>
              </w:rPr>
            </w:pPr>
            <w:r w:rsidRPr="001F4607">
              <w:rPr>
                <w:noProof/>
                <w:lang w:eastAsia="en-GB"/>
              </w:rPr>
              <mc:AlternateContent>
                <mc:Choice Requires="wpg">
                  <w:drawing>
                    <wp:anchor distT="0" distB="0" distL="114300" distR="114300" simplePos="0" relativeHeight="251660288" behindDoc="0" locked="0" layoutInCell="1" allowOverlap="1" wp14:anchorId="7B1546B4" wp14:editId="7A4664BE">
                      <wp:simplePos x="0" y="0"/>
                      <wp:positionH relativeFrom="column">
                        <wp:posOffset>956310</wp:posOffset>
                      </wp:positionH>
                      <wp:positionV relativeFrom="paragraph">
                        <wp:posOffset>158115</wp:posOffset>
                      </wp:positionV>
                      <wp:extent cx="1557020" cy="1800860"/>
                      <wp:effectExtent l="0" t="0" r="24130" b="27940"/>
                      <wp:wrapTopAndBottom/>
                      <wp:docPr id="1" name="Group 5"/>
                      <wp:cNvGraphicFramePr/>
                      <a:graphic xmlns:a="http://schemas.openxmlformats.org/drawingml/2006/main">
                        <a:graphicData uri="http://schemas.microsoft.com/office/word/2010/wordprocessingGroup">
                          <wpg:wgp>
                            <wpg:cNvGrpSpPr/>
                            <wpg:grpSpPr>
                              <a:xfrm>
                                <a:off x="0" y="0"/>
                                <a:ext cx="1557020" cy="1800860"/>
                                <a:chOff x="0" y="0"/>
                                <a:chExt cx="1557306" cy="1800973"/>
                              </a:xfrm>
                            </wpg:grpSpPr>
                            <wps:wsp>
                              <wps:cNvPr id="8" name="Rechteck 8">
                                <a:extLst>
                                  <a:ext uri="{FF2B5EF4-FFF2-40B4-BE49-F238E27FC236}">
                                    <a16:creationId xmlns:a16="http://schemas.microsoft.com/office/drawing/2014/main" id="{2816483D-6D24-4ECF-B9ED-BB04C86E4C76}"/>
                                  </a:ext>
                                </a:extLst>
                              </wps:cNvPr>
                              <wps:cNvSpPr/>
                              <wps:spPr>
                                <a:xfrm>
                                  <a:off x="787679" y="2"/>
                                  <a:ext cx="769627" cy="1800971"/>
                                </a:xfrm>
                                <a:prstGeom prst="rect">
                                  <a:avLst/>
                                </a:prstGeom>
                                <a:solidFill>
                                  <a:srgbClr val="EEECE1"/>
                                </a:solidFill>
                                <a:ln w="12700" cap="flat" cmpd="sng" algn="ctr">
                                  <a:solidFill>
                                    <a:srgbClr val="385D8A"/>
                                  </a:solidFill>
                                  <a:prstDash val="solid"/>
                                </a:ln>
                                <a:effectLst/>
                              </wps:spPr>
                              <wps:txbx>
                                <w:txbxContent>
                                  <w:p w14:paraId="2063DA67" w14:textId="77777777" w:rsidR="000B5960" w:rsidRPr="001F4607" w:rsidRDefault="000B5960" w:rsidP="000B5960">
                                    <w:pPr>
                                      <w:pStyle w:val="NormalWeb"/>
                                      <w:spacing w:before="0" w:beforeAutospacing="0" w:after="0" w:afterAutospacing="0"/>
                                      <w:jc w:val="center"/>
                                    </w:pPr>
                                    <w:r w:rsidRPr="001F4607">
                                      <w:rPr>
                                        <w:rFonts w:asciiTheme="majorHAnsi" w:hAnsi="Cambria" w:cstheme="minorBidi"/>
                                        <w:color w:val="0F5494"/>
                                        <w:lang w:val="it-IT"/>
                                      </w:rPr>
                                      <w:t>IP</w:t>
                                    </w:r>
                                  </w:p>
                                </w:txbxContent>
                              </wps:txbx>
                              <wps:bodyPr rtlCol="0" anchor="ctr"/>
                            </wps:wsp>
                            <wps:wsp>
                              <wps:cNvPr id="9" name="Rechteck 9">
                                <a:extLst>
                                  <a:ext uri="{FF2B5EF4-FFF2-40B4-BE49-F238E27FC236}">
                                    <a16:creationId xmlns:a16="http://schemas.microsoft.com/office/drawing/2014/main" id="{31A292F8-0BED-4FEC-A2AB-12E813BAB4E8}"/>
                                  </a:ext>
                                </a:extLst>
                              </wps:cNvPr>
                              <wps:cNvSpPr/>
                              <wps:spPr>
                                <a:xfrm>
                                  <a:off x="0" y="0"/>
                                  <a:ext cx="778873" cy="1800972"/>
                                </a:xfrm>
                                <a:prstGeom prst="rect">
                                  <a:avLst/>
                                </a:prstGeom>
                                <a:solidFill>
                                  <a:srgbClr val="4F81BD"/>
                                </a:solidFill>
                                <a:ln w="12700" cap="flat" cmpd="sng" algn="ctr">
                                  <a:solidFill>
                                    <a:srgbClr val="4F81BD">
                                      <a:shade val="50000"/>
                                    </a:srgbClr>
                                  </a:solidFill>
                                  <a:prstDash val="solid"/>
                                </a:ln>
                                <a:effectLst/>
                              </wps:spPr>
                              <wps:txbx>
                                <w:txbxContent>
                                  <w:p w14:paraId="31BE5E7C" w14:textId="77777777" w:rsidR="000B5960" w:rsidRPr="001F4607" w:rsidRDefault="000B5960" w:rsidP="000B5960">
                                    <w:pPr>
                                      <w:pStyle w:val="NormalWeb"/>
                                      <w:spacing w:before="0" w:beforeAutospacing="0" w:after="0" w:afterAutospacing="0"/>
                                      <w:jc w:val="center"/>
                                    </w:pPr>
                                    <w:r w:rsidRPr="001F4607">
                                      <w:rPr>
                                        <w:rFonts w:asciiTheme="majorHAnsi" w:hAnsi="Cambria" w:cstheme="minorBidi"/>
                                        <w:color w:val="FFFFFF" w:themeColor="background1"/>
                                        <w:lang w:val="it-IT"/>
                                      </w:rPr>
                                      <w:t>COM</w:t>
                                    </w:r>
                                  </w:p>
                                </w:txbxContent>
                              </wps:txbx>
                              <wps:bodyPr rtlCol="0" anchor="ctr"/>
                            </wps:wsp>
                          </wpg:wgp>
                        </a:graphicData>
                      </a:graphic>
                    </wp:anchor>
                  </w:drawing>
                </mc:Choice>
                <mc:Fallback>
                  <w:pict>
                    <v:group w14:anchorId="7B1546B4" id="Group 5" o:spid="_x0000_s1032" style="position:absolute;left:0;text-align:left;margin-left:75.3pt;margin-top:12.45pt;width:122.6pt;height:141.8pt;z-index:251660288" coordsize="15573,18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">
                      <v:rect id="Rechteck 8" o:spid="_x0000_s1033" style="position:absolute;left:7876;width:7697;height:180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" fillcolor="#eeece1" strokecolor="#385d8a" strokeweight="1pt">
                        <v:textbox>
                          <w:txbxContent>
                            <w:p w14:paraId="2063DA67" w14:textId="77777777" w:rsidR="000B5960" w:rsidRPr="001F4607" w:rsidRDefault="000B5960" w:rsidP="000B5960">
                              <w:pPr>
                                <w:pStyle w:val="NormalWeb"/>
                                <w:spacing w:before="0" w:beforeAutospacing="0" w:after="0" w:afterAutospacing="0"/>
                                <w:jc w:val="center"/>
                              </w:pPr>
                              <w:r w:rsidRPr="001F4607">
                                <w:rPr>
                                  <w:rFonts w:asciiTheme="majorHAnsi" w:hAnsi="Cambria" w:cstheme="minorBidi"/>
                                  <w:color w:val="0F5494"/>
                                  <w:lang w:val="it-IT"/>
                                </w:rPr>
                                <w:t>IP</w:t>
                              </w:r>
                            </w:p>
                          </w:txbxContent>
                        </v:textbox>
                      </v:rect>
                      <v:rect id="Rechteck 9" o:spid="_x0000_s1034" style="position:absolute;width:7788;height:180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" fillcolor="#4f81bd" strokecolor="#385d8a" strokeweight="1pt">
                        <v:textbox>
                          <w:txbxContent>
                            <w:p w14:paraId="31BE5E7C" w14:textId="77777777" w:rsidR="000B5960" w:rsidRPr="001F4607" w:rsidRDefault="000B5960" w:rsidP="000B5960">
                              <w:pPr>
                                <w:pStyle w:val="NormalWeb"/>
                                <w:spacing w:before="0" w:beforeAutospacing="0" w:after="0" w:afterAutospacing="0"/>
                                <w:jc w:val="center"/>
                              </w:pPr>
                              <w:r w:rsidRPr="001F4607">
                                <w:rPr>
                                  <w:rFonts w:asciiTheme="majorHAnsi" w:hAnsi="Cambria" w:cstheme="minorBidi"/>
                                  <w:color w:val="FFFFFF" w:themeColor="background1"/>
                                  <w:lang w:val="it-IT"/>
                                </w:rPr>
                                <w:t>COM</w:t>
                              </w:r>
                            </w:p>
                          </w:txbxContent>
                        </v:textbox>
                      </v:rect>
                      <w10:wrap type="topAndBottom"/>
                    </v:group>
                  </w:pict>
                </mc:Fallback>
              </mc:AlternateContent>
            </w:r>
          </w:p>
          <w:p w14:paraId="0EC8747F" w14:textId="77777777" w:rsidR="000B5960" w:rsidRPr="00640FB3" w:rsidRDefault="000B5960" w:rsidP="000B5960">
            <w:pPr>
              <w:rPr>
                <w:rFonts w:ascii="Arial" w:hAnsi="Arial" w:cs="Arial"/>
                <w:i/>
                <w:sz w:val="20"/>
                <w:szCs w:val="20"/>
                <w:u w:val="single"/>
              </w:rPr>
            </w:pPr>
            <w:r w:rsidRPr="00640FB3">
              <w:rPr>
                <w:rFonts w:ascii="Arial" w:hAnsi="Arial" w:cs="Arial"/>
                <w:i/>
                <w:sz w:val="20"/>
                <w:szCs w:val="20"/>
                <w:u w:val="single"/>
              </w:rPr>
              <w:t>Option 3 – Mezzanine tranche</w:t>
            </w:r>
          </w:p>
          <w:p w14:paraId="3B29E741" w14:textId="77777777" w:rsidR="000B5960" w:rsidRPr="00640FB3" w:rsidRDefault="000B5960" w:rsidP="000B5960">
            <w:pPr>
              <w:rPr>
                <w:rFonts w:ascii="Arial" w:hAnsi="Arial" w:cs="Arial"/>
                <w:sz w:val="20"/>
                <w:szCs w:val="20"/>
              </w:rPr>
            </w:pPr>
            <w:r w:rsidRPr="00EF76D3">
              <w:rPr>
                <w:rFonts w:ascii="Arial" w:hAnsi="Arial" w:cs="Arial"/>
                <w:sz w:val="20"/>
                <w:szCs w:val="20"/>
              </w:rPr>
              <w:t xml:space="preserve">The EU guarantee </w:t>
            </w:r>
            <w:r>
              <w:rPr>
                <w:rFonts w:ascii="Arial" w:hAnsi="Arial" w:cs="Arial"/>
                <w:sz w:val="20"/>
                <w:szCs w:val="20"/>
              </w:rPr>
              <w:t xml:space="preserve">shall </w:t>
            </w:r>
            <w:r w:rsidRPr="00EF76D3">
              <w:rPr>
                <w:rFonts w:ascii="Arial" w:hAnsi="Arial" w:cs="Arial"/>
                <w:sz w:val="20"/>
                <w:szCs w:val="20"/>
              </w:rPr>
              <w:t>cover a mezzanine tranche in respect of the relevant portfolio of operations financed by the IP.</w:t>
            </w:r>
          </w:p>
          <w:p w14:paraId="51998E84" w14:textId="77777777" w:rsidR="000B5960" w:rsidRPr="00EF76D3" w:rsidRDefault="000B5960" w:rsidP="000B5960">
            <w:pPr>
              <w:rPr>
                <w:rFonts w:ascii="Arial" w:hAnsi="Arial" w:cs="Arial"/>
                <w:i/>
                <w:sz w:val="20"/>
                <w:szCs w:val="20"/>
                <w:u w:val="single"/>
              </w:rPr>
            </w:pPr>
            <w:r w:rsidRPr="001F4607">
              <w:rPr>
                <w:rFonts w:ascii="Arial" w:hAnsi="Arial" w:cs="Arial"/>
                <w:i/>
                <w:noProof/>
                <w:sz w:val="20"/>
                <w:szCs w:val="20"/>
                <w:u w:val="single"/>
                <w:lang w:eastAsia="en-GB"/>
              </w:rPr>
              <mc:AlternateContent>
                <mc:Choice Requires="wpg">
                  <w:drawing>
                    <wp:anchor distT="0" distB="0" distL="114300" distR="114300" simplePos="0" relativeHeight="251661312" behindDoc="0" locked="0" layoutInCell="1" allowOverlap="1" wp14:anchorId="7993C8E0" wp14:editId="358E4352">
                      <wp:simplePos x="0" y="0"/>
                      <wp:positionH relativeFrom="column">
                        <wp:posOffset>1085850</wp:posOffset>
                      </wp:positionH>
                      <wp:positionV relativeFrom="paragraph">
                        <wp:posOffset>156845</wp:posOffset>
                      </wp:positionV>
                      <wp:extent cx="1452245" cy="1800860"/>
                      <wp:effectExtent l="0" t="0" r="14605" b="27940"/>
                      <wp:wrapTopAndBottom/>
                      <wp:docPr id="10" name="Group 1"/>
                      <wp:cNvGraphicFramePr/>
                      <a:graphic xmlns:a="http://schemas.openxmlformats.org/drawingml/2006/main">
                        <a:graphicData uri="http://schemas.microsoft.com/office/word/2010/wordprocessingGroup">
                          <wpg:wgp>
                            <wpg:cNvGrpSpPr/>
                            <wpg:grpSpPr>
                              <a:xfrm>
                                <a:off x="0" y="0"/>
                                <a:ext cx="1452245" cy="1800860"/>
                                <a:chOff x="0" y="0"/>
                                <a:chExt cx="1452862" cy="2160240"/>
                              </a:xfrm>
                            </wpg:grpSpPr>
                            <wps:wsp>
                              <wps:cNvPr id="11" name="Rechteck 20">
                                <a:extLst>
                                  <a:ext uri="{FF2B5EF4-FFF2-40B4-BE49-F238E27FC236}">
                                    <a16:creationId xmlns:a16="http://schemas.microsoft.com/office/drawing/2014/main" id="{09B935A3-3CB0-4955-A562-B166753C8C84}"/>
                                  </a:ext>
                                </a:extLst>
                              </wps:cNvPr>
                              <wps:cNvSpPr/>
                              <wps:spPr>
                                <a:xfrm>
                                  <a:off x="2" y="0"/>
                                  <a:ext cx="1452860" cy="2160240"/>
                                </a:xfrm>
                                <a:prstGeom prst="rect">
                                  <a:avLst/>
                                </a:prstGeom>
                                <a:solidFill>
                                  <a:srgbClr val="EEECE1"/>
                                </a:solidFill>
                                <a:ln w="12700" cap="flat" cmpd="sng" algn="ctr">
                                  <a:solidFill>
                                    <a:srgbClr val="4F81BD">
                                      <a:shade val="50000"/>
                                    </a:srgbClr>
                                  </a:solidFill>
                                  <a:prstDash val="solid"/>
                                </a:ln>
                                <a:effectLst/>
                              </wps:spPr>
                              <wps:bodyPr rtlCol="0" anchor="ctr"/>
                            </wps:wsp>
                            <wps:wsp>
                              <wps:cNvPr id="12" name="TextBox 23"/>
                              <wps:cNvSpPr txBox="1"/>
                              <wps:spPr>
                                <a:xfrm>
                                  <a:off x="402895" y="300443"/>
                                  <a:ext cx="645795" cy="323711"/>
                                </a:xfrm>
                                <a:prstGeom prst="rect">
                                  <a:avLst/>
                                </a:prstGeom>
                                <a:noFill/>
                              </wps:spPr>
                              <wps:txbx>
                                <w:txbxContent>
                                  <w:p w14:paraId="6F3B964F" w14:textId="77777777" w:rsidR="000B5960" w:rsidRPr="001F4607" w:rsidRDefault="000B5960" w:rsidP="000B5960">
                                    <w:pPr>
                                      <w:pStyle w:val="NormalWeb"/>
                                      <w:spacing w:before="0" w:beforeAutospacing="0" w:after="0" w:afterAutospacing="0"/>
                                      <w:jc w:val="center"/>
                                      <w:textAlignment w:val="baseline"/>
                                    </w:pPr>
                                    <w:r w:rsidRPr="001F4607">
                                      <w:rPr>
                                        <w:rFonts w:asciiTheme="majorHAnsi" w:hAnsi="Cambria" w:cstheme="minorBidi"/>
                                        <w:color w:val="0F5494"/>
                                        <w:kern w:val="24"/>
                                        <w:lang w:val="it-IT"/>
                                      </w:rPr>
                                      <w:t>IP</w:t>
                                    </w:r>
                                  </w:p>
                                </w:txbxContent>
                              </wps:txbx>
                              <wps:bodyPr wrap="square" rtlCol="0">
                                <a:spAutoFit/>
                              </wps:bodyPr>
                            </wps:wsp>
                            <wps:wsp>
                              <wps:cNvPr id="13" name="Rechteck 9">
                                <a:extLst>
                                  <a:ext uri="{FF2B5EF4-FFF2-40B4-BE49-F238E27FC236}">
                                    <a16:creationId xmlns:a16="http://schemas.microsoft.com/office/drawing/2014/main" id="{31A292F8-0BED-4FEC-A2AB-12E813BAB4E8}"/>
                                  </a:ext>
                                </a:extLst>
                              </wps:cNvPr>
                              <wps:cNvSpPr/>
                              <wps:spPr>
                                <a:xfrm>
                                  <a:off x="0" y="1092438"/>
                                  <a:ext cx="1452861" cy="459800"/>
                                </a:xfrm>
                                <a:prstGeom prst="rect">
                                  <a:avLst/>
                                </a:prstGeom>
                                <a:solidFill>
                                  <a:srgbClr val="4F81BD"/>
                                </a:solidFill>
                                <a:ln w="12700" cap="flat" cmpd="sng" algn="ctr">
                                  <a:solidFill>
                                    <a:srgbClr val="4F81BD">
                                      <a:shade val="50000"/>
                                    </a:srgbClr>
                                  </a:solidFill>
                                  <a:prstDash val="solid"/>
                                </a:ln>
                                <a:effectLst/>
                              </wps:spPr>
                              <wps:txbx>
                                <w:txbxContent>
                                  <w:p w14:paraId="5C0237AE" w14:textId="77777777" w:rsidR="000B5960" w:rsidRPr="001F4607" w:rsidRDefault="000B5960" w:rsidP="000B5960">
                                    <w:pPr>
                                      <w:pStyle w:val="NormalWeb"/>
                                      <w:spacing w:before="0" w:beforeAutospacing="0" w:after="0" w:afterAutospacing="0"/>
                                      <w:jc w:val="center"/>
                                    </w:pPr>
                                    <w:r w:rsidRPr="001F4607">
                                      <w:rPr>
                                        <w:rFonts w:asciiTheme="majorHAnsi" w:hAnsi="Cambria" w:cstheme="minorBidi"/>
                                        <w:color w:val="FFFFFF" w:themeColor="background1"/>
                                        <w:lang w:val="it-IT"/>
                                      </w:rPr>
                                      <w:t>COM</w:t>
                                    </w:r>
                                  </w:p>
                                </w:txbxContent>
                              </wps:txbx>
                              <wps:bodyPr rtlCol="0" anchor="ctr"/>
                            </wps:wsp>
                            <wps:wsp>
                              <wps:cNvPr id="14" name="TextBox 25"/>
                              <wps:cNvSpPr txBox="1"/>
                              <wps:spPr>
                                <a:xfrm>
                                  <a:off x="25176" y="1655980"/>
                                  <a:ext cx="1408430" cy="323711"/>
                                </a:xfrm>
                                <a:prstGeom prst="rect">
                                  <a:avLst/>
                                </a:prstGeom>
                                <a:noFill/>
                              </wps:spPr>
                              <wps:txbx>
                                <w:txbxContent>
                                  <w:p w14:paraId="5C1EE61A" w14:textId="77777777" w:rsidR="000B5960" w:rsidRPr="001F4607" w:rsidRDefault="000B5960" w:rsidP="000B5960">
                                    <w:pPr>
                                      <w:pStyle w:val="NormalWeb"/>
                                      <w:spacing w:before="0" w:beforeAutospacing="0" w:after="0" w:afterAutospacing="0"/>
                                      <w:jc w:val="center"/>
                                      <w:textAlignment w:val="baseline"/>
                                    </w:pPr>
                                    <w:r w:rsidRPr="001F4607">
                                      <w:rPr>
                                        <w:rFonts w:asciiTheme="majorHAnsi" w:hAnsi="Cambria" w:cstheme="minorBidi"/>
                                        <w:color w:val="0F5494"/>
                                        <w:kern w:val="24"/>
                                        <w:lang w:val="it-IT"/>
                                      </w:rPr>
                                      <w:t>IP</w:t>
                                    </w:r>
                                  </w:p>
                                </w:txbxContent>
                              </wps:txbx>
                              <wps:bodyPr wrap="square" rtlCol="0">
                                <a:spAutoFit/>
                              </wps:bodyPr>
                            </wps:wsp>
                          </wpg:wgp>
                        </a:graphicData>
                      </a:graphic>
                    </wp:anchor>
                  </w:drawing>
                </mc:Choice>
                <mc:Fallback>
                  <w:pict>
                    <v:group w14:anchorId="7993C8E0" id="Group 1" o:spid="_x0000_s1035" style="position:absolute;left:0;text-align:left;margin-left:85.5pt;margin-top:12.35pt;width:114.35pt;height:141.8pt;z-index:251661312" coordsize="14528,21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">
                      <v:rect id="Rechteck 20" o:spid="_x0000_s1036" style="position:absolute;width:14528;height:216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" fillcolor="#eeece1" strokecolor="#385d8a" strokeweight="1pt"/>
                      <v:shapetype id="_x0000_t202" coordsize="21600,21600" o:spt="202" path="m,l,21600r21600,l21600,xe">
                        <v:stroke joinstyle="miter"/>
                        <v:path gradientshapeok="t" o:connecttype="rect"/>
                      </v:shapetype>
                      <v:shape id="TextBox 23" o:spid="_x0000_s1037" type="#_x0000_t202" style="position:absolute;left:4028;top:3004;width:6458;height:3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" filled="f" stroked="f">
                        <v:textbox style="mso-fit-shape-to-text:t">
                          <w:txbxContent>
                            <w:p w14:paraId="6F3B964F" w14:textId="77777777" w:rsidR="000B5960" w:rsidRPr="001F4607" w:rsidRDefault="000B5960" w:rsidP="000B5960">
                              <w:pPr>
                                <w:pStyle w:val="NormalWeb"/>
                                <w:spacing w:before="0" w:beforeAutospacing="0" w:after="0" w:afterAutospacing="0"/>
                                <w:jc w:val="center"/>
                                <w:textAlignment w:val="baseline"/>
                              </w:pPr>
                              <w:r w:rsidRPr="001F4607">
                                <w:rPr>
                                  <w:rFonts w:asciiTheme="majorHAnsi" w:hAnsi="Cambria" w:cstheme="minorBidi"/>
                                  <w:color w:val="0F5494"/>
                                  <w:kern w:val="24"/>
                                  <w:lang w:val="it-IT"/>
                                </w:rPr>
                                <w:t>IP</w:t>
                              </w:r>
                            </w:p>
                          </w:txbxContent>
                        </v:textbox>
                      </v:shape>
                      <v:rect id="Rechteck 9" o:spid="_x0000_s1038" style="position:absolute;top:10924;width:14528;height:4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" fillcolor="#4f81bd" strokecolor="#385d8a" strokeweight="1pt">
                        <v:textbox>
                          <w:txbxContent>
                            <w:p w14:paraId="5C0237AE" w14:textId="77777777" w:rsidR="000B5960" w:rsidRPr="001F4607" w:rsidRDefault="000B5960" w:rsidP="000B5960">
                              <w:pPr>
                                <w:pStyle w:val="NormalWeb"/>
                                <w:spacing w:before="0" w:beforeAutospacing="0" w:after="0" w:afterAutospacing="0"/>
                                <w:jc w:val="center"/>
                              </w:pPr>
                              <w:r w:rsidRPr="001F4607">
                                <w:rPr>
                                  <w:rFonts w:asciiTheme="majorHAnsi" w:hAnsi="Cambria" w:cstheme="minorBidi"/>
                                  <w:color w:val="FFFFFF" w:themeColor="background1"/>
                                  <w:lang w:val="it-IT"/>
                                </w:rPr>
                                <w:t>COM</w:t>
                              </w:r>
                            </w:p>
                          </w:txbxContent>
                        </v:textbox>
                      </v:rect>
                      <v:shape id="TextBox 25" o:spid="_x0000_s1039" type="#_x0000_t202" style="position:absolute;left:251;top:16559;width:14085;height:3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" filled="f" stroked="f">
                        <v:textbox style="mso-fit-shape-to-text:t">
                          <w:txbxContent>
                            <w:p w14:paraId="5C1EE61A" w14:textId="77777777" w:rsidR="000B5960" w:rsidRPr="001F4607" w:rsidRDefault="000B5960" w:rsidP="000B5960">
                              <w:pPr>
                                <w:pStyle w:val="NormalWeb"/>
                                <w:spacing w:before="0" w:beforeAutospacing="0" w:after="0" w:afterAutospacing="0"/>
                                <w:jc w:val="center"/>
                                <w:textAlignment w:val="baseline"/>
                              </w:pPr>
                              <w:r w:rsidRPr="001F4607">
                                <w:rPr>
                                  <w:rFonts w:asciiTheme="majorHAnsi" w:hAnsi="Cambria" w:cstheme="minorBidi"/>
                                  <w:color w:val="0F5494"/>
                                  <w:kern w:val="24"/>
                                  <w:lang w:val="it-IT"/>
                                </w:rPr>
                                <w:t>IP</w:t>
                              </w:r>
                            </w:p>
                          </w:txbxContent>
                        </v:textbox>
                      </v:shape>
                      <w10:wrap type="topAndBottom"/>
                    </v:group>
                  </w:pict>
                </mc:Fallback>
              </mc:AlternateContent>
            </w:r>
          </w:p>
        </w:tc>
      </w:tr>
      <w:tr w:rsidR="000B5960" w:rsidRPr="002E2899" w14:paraId="4B6EFE55" w14:textId="77777777" w:rsidTr="000B5960">
        <w:trPr>
          <w:trHeight w:val="449"/>
        </w:trPr>
        <w:tc>
          <w:tcPr>
            <w:tcW w:w="1437" w:type="dxa"/>
          </w:tcPr>
          <w:p w14:paraId="2F80365A" w14:textId="77777777" w:rsidR="000B5960" w:rsidRPr="00C34715" w:rsidRDefault="000B5960" w:rsidP="000B5960">
            <w:pPr>
              <w:rPr>
                <w:rFonts w:ascii="Arial" w:hAnsi="Arial" w:cs="Arial"/>
                <w:b/>
                <w:bCs/>
                <w:sz w:val="20"/>
                <w:szCs w:val="20"/>
              </w:rPr>
            </w:pPr>
            <w:r w:rsidRPr="00FE4697">
              <w:rPr>
                <w:rFonts w:ascii="Arial" w:hAnsi="Arial" w:cs="Arial"/>
                <w:b/>
                <w:bCs/>
                <w:sz w:val="20"/>
                <w:szCs w:val="20"/>
              </w:rPr>
              <w:lastRenderedPageBreak/>
              <w:t>20.</w:t>
            </w:r>
          </w:p>
        </w:tc>
        <w:tc>
          <w:tcPr>
            <w:tcW w:w="2494" w:type="dxa"/>
          </w:tcPr>
          <w:p w14:paraId="64B1D882" w14:textId="77777777" w:rsidR="000B5960" w:rsidRPr="00C34715" w:rsidRDefault="000B5960" w:rsidP="000B5960">
            <w:pPr>
              <w:rPr>
                <w:rFonts w:ascii="Arial" w:hAnsi="Arial" w:cs="Arial"/>
                <w:b/>
                <w:bCs/>
                <w:sz w:val="20"/>
                <w:szCs w:val="20"/>
              </w:rPr>
            </w:pPr>
            <w:r w:rsidRPr="00FE4697">
              <w:rPr>
                <w:rFonts w:ascii="Arial" w:hAnsi="Arial" w:cs="Arial"/>
                <w:b/>
                <w:bCs/>
                <w:sz w:val="20"/>
                <w:szCs w:val="20"/>
              </w:rPr>
              <w:t>Currency</w:t>
            </w:r>
          </w:p>
        </w:tc>
        <w:tc>
          <w:tcPr>
            <w:tcW w:w="6417" w:type="dxa"/>
          </w:tcPr>
          <w:p w14:paraId="15CBEDD0" w14:textId="77777777" w:rsidR="000B5960" w:rsidRPr="002E2899" w:rsidRDefault="000B5960" w:rsidP="000B5960">
            <w:pPr>
              <w:rPr>
                <w:rFonts w:ascii="Arial" w:hAnsi="Arial" w:cs="Arial"/>
                <w:sz w:val="20"/>
                <w:szCs w:val="20"/>
              </w:rPr>
            </w:pPr>
            <w:r w:rsidRPr="002E2899">
              <w:rPr>
                <w:rFonts w:ascii="Arial" w:hAnsi="Arial" w:cs="Arial"/>
                <w:sz w:val="20"/>
                <w:szCs w:val="20"/>
              </w:rPr>
              <w:t xml:space="preserve">EUR or any other EU currencies. </w:t>
            </w:r>
          </w:p>
        </w:tc>
      </w:tr>
      <w:tr w:rsidR="000B5960" w:rsidRPr="002E2899" w14:paraId="7EC25FCD" w14:textId="77777777" w:rsidTr="000B5960">
        <w:trPr>
          <w:trHeight w:val="641"/>
        </w:trPr>
        <w:tc>
          <w:tcPr>
            <w:tcW w:w="1437" w:type="dxa"/>
          </w:tcPr>
          <w:p w14:paraId="7C1FDE70" w14:textId="77777777" w:rsidR="000B5960" w:rsidRPr="00C34715" w:rsidRDefault="000B5960" w:rsidP="000B5960">
            <w:pPr>
              <w:rPr>
                <w:rFonts w:ascii="Arial" w:hAnsi="Arial" w:cs="Arial"/>
                <w:b/>
                <w:bCs/>
                <w:sz w:val="20"/>
                <w:szCs w:val="20"/>
              </w:rPr>
            </w:pPr>
            <w:r w:rsidRPr="00FE4697">
              <w:rPr>
                <w:rFonts w:ascii="Arial" w:hAnsi="Arial" w:cs="Arial"/>
                <w:b/>
                <w:bCs/>
                <w:sz w:val="20"/>
                <w:szCs w:val="20"/>
              </w:rPr>
              <w:t>21.</w:t>
            </w:r>
          </w:p>
        </w:tc>
        <w:tc>
          <w:tcPr>
            <w:tcW w:w="2494" w:type="dxa"/>
          </w:tcPr>
          <w:p w14:paraId="6DA56D8A" w14:textId="77777777" w:rsidR="000B5960" w:rsidRPr="00C34715" w:rsidRDefault="000B5960" w:rsidP="000B5960">
            <w:pPr>
              <w:rPr>
                <w:rFonts w:ascii="Arial" w:hAnsi="Arial" w:cs="Arial"/>
                <w:b/>
                <w:bCs/>
                <w:sz w:val="20"/>
                <w:szCs w:val="20"/>
              </w:rPr>
            </w:pPr>
            <w:r w:rsidRPr="00FE4697">
              <w:rPr>
                <w:rFonts w:ascii="Arial" w:hAnsi="Arial" w:cs="Arial"/>
                <w:b/>
                <w:bCs/>
                <w:sz w:val="20"/>
                <w:szCs w:val="20"/>
              </w:rPr>
              <w:t>Events triggering  the use of the EU Guarantee</w:t>
            </w:r>
          </w:p>
        </w:tc>
        <w:tc>
          <w:tcPr>
            <w:tcW w:w="6417" w:type="dxa"/>
          </w:tcPr>
          <w:p w14:paraId="7E6834E6" w14:textId="77777777" w:rsidR="000B5960" w:rsidRPr="00C34715" w:rsidRDefault="000B5960" w:rsidP="000B5960">
            <w:pPr>
              <w:rPr>
                <w:rFonts w:ascii="Arial" w:hAnsi="Arial" w:cs="Arial"/>
                <w:i/>
                <w:iCs/>
                <w:sz w:val="20"/>
                <w:szCs w:val="20"/>
              </w:rPr>
            </w:pPr>
            <w:r w:rsidRPr="002E2899">
              <w:rPr>
                <w:rFonts w:ascii="Arial" w:hAnsi="Arial" w:cs="Arial"/>
                <w:sz w:val="20"/>
                <w:szCs w:val="20"/>
              </w:rPr>
              <w:t xml:space="preserve">To be determined in the guarantee agreement in accordance with Article 14.2(c) and 16.2 of the InvestEU regulation. </w:t>
            </w:r>
          </w:p>
        </w:tc>
      </w:tr>
      <w:tr w:rsidR="000B5960" w:rsidRPr="002E2899" w14:paraId="30AC851B" w14:textId="77777777" w:rsidTr="000B5960">
        <w:trPr>
          <w:trHeight w:val="462"/>
        </w:trPr>
        <w:tc>
          <w:tcPr>
            <w:tcW w:w="1437" w:type="dxa"/>
          </w:tcPr>
          <w:p w14:paraId="01E22C3E" w14:textId="77777777" w:rsidR="000B5960" w:rsidRPr="00C34715" w:rsidRDefault="000B5960" w:rsidP="000B5960">
            <w:pPr>
              <w:rPr>
                <w:rFonts w:ascii="Arial" w:hAnsi="Arial" w:cs="Arial"/>
                <w:b/>
                <w:bCs/>
                <w:sz w:val="20"/>
                <w:szCs w:val="20"/>
              </w:rPr>
            </w:pPr>
            <w:r w:rsidRPr="00FE4697">
              <w:rPr>
                <w:rFonts w:ascii="Arial" w:hAnsi="Arial" w:cs="Arial"/>
                <w:b/>
                <w:bCs/>
                <w:sz w:val="20"/>
                <w:szCs w:val="20"/>
              </w:rPr>
              <w:t>22.</w:t>
            </w:r>
          </w:p>
        </w:tc>
        <w:tc>
          <w:tcPr>
            <w:tcW w:w="2494" w:type="dxa"/>
          </w:tcPr>
          <w:p w14:paraId="5CC8083C" w14:textId="77777777" w:rsidR="000B5960" w:rsidRPr="00C34715" w:rsidRDefault="000B5960" w:rsidP="000B5960">
            <w:pPr>
              <w:rPr>
                <w:rFonts w:ascii="Arial" w:hAnsi="Arial" w:cs="Arial"/>
                <w:b/>
                <w:bCs/>
                <w:sz w:val="20"/>
                <w:szCs w:val="20"/>
              </w:rPr>
            </w:pPr>
            <w:r w:rsidRPr="00FE4697">
              <w:rPr>
                <w:rFonts w:ascii="Arial" w:hAnsi="Arial" w:cs="Arial"/>
                <w:b/>
                <w:bCs/>
                <w:sz w:val="20"/>
                <w:szCs w:val="20"/>
              </w:rPr>
              <w:t>State Aid considerations</w:t>
            </w:r>
          </w:p>
        </w:tc>
        <w:tc>
          <w:tcPr>
            <w:tcW w:w="6417" w:type="dxa"/>
          </w:tcPr>
          <w:p w14:paraId="00F0CB1B" w14:textId="77777777" w:rsidR="000B5960" w:rsidRPr="002E2899" w:rsidRDefault="000B5960" w:rsidP="000B5960">
            <w:pPr>
              <w:rPr>
                <w:rFonts w:ascii="Arial" w:hAnsi="Arial" w:cs="Arial"/>
                <w:sz w:val="20"/>
                <w:szCs w:val="20"/>
              </w:rPr>
            </w:pPr>
            <w:r w:rsidRPr="002E2899">
              <w:rPr>
                <w:rFonts w:ascii="Arial" w:hAnsi="Arial" w:cs="Arial"/>
                <w:sz w:val="20"/>
                <w:szCs w:val="20"/>
              </w:rPr>
              <w:t xml:space="preserve">In case of combination with state resources in the implementation of the </w:t>
            </w:r>
            <w:r>
              <w:rPr>
                <w:rFonts w:ascii="Arial" w:hAnsi="Arial" w:cs="Arial"/>
                <w:sz w:val="20"/>
                <w:szCs w:val="20"/>
              </w:rPr>
              <w:t xml:space="preserve">financial </w:t>
            </w:r>
            <w:r w:rsidRPr="002E2899">
              <w:rPr>
                <w:rFonts w:ascii="Arial" w:hAnsi="Arial" w:cs="Arial"/>
                <w:sz w:val="20"/>
                <w:szCs w:val="20"/>
              </w:rPr>
              <w:t>product described in this fiche, the dedicated GBER part will apply.</w:t>
            </w:r>
            <w:r w:rsidRPr="00FE4697">
              <w:rPr>
                <w:rFonts w:ascii="Arial" w:hAnsi="Arial" w:cs="Arial"/>
                <w:i/>
                <w:iCs/>
                <w:sz w:val="20"/>
                <w:szCs w:val="20"/>
              </w:rPr>
              <w:t xml:space="preserve"> </w:t>
            </w:r>
          </w:p>
        </w:tc>
      </w:tr>
      <w:tr w:rsidR="000B5960" w:rsidRPr="002E2899" w14:paraId="37E12541" w14:textId="77777777" w:rsidTr="000B5960">
        <w:trPr>
          <w:trHeight w:val="912"/>
        </w:trPr>
        <w:tc>
          <w:tcPr>
            <w:tcW w:w="1437" w:type="dxa"/>
          </w:tcPr>
          <w:p w14:paraId="657B1C6C" w14:textId="77777777" w:rsidR="000B5960" w:rsidRPr="00C34715" w:rsidRDefault="000B5960" w:rsidP="000B5960">
            <w:pPr>
              <w:rPr>
                <w:rFonts w:ascii="Arial" w:hAnsi="Arial" w:cs="Arial"/>
                <w:b/>
                <w:bCs/>
                <w:sz w:val="20"/>
                <w:szCs w:val="20"/>
              </w:rPr>
            </w:pPr>
            <w:r w:rsidRPr="00FE4697">
              <w:rPr>
                <w:rFonts w:ascii="Arial" w:hAnsi="Arial" w:cs="Arial"/>
                <w:b/>
                <w:bCs/>
                <w:sz w:val="20"/>
                <w:szCs w:val="20"/>
              </w:rPr>
              <w:t>23.</w:t>
            </w:r>
          </w:p>
        </w:tc>
        <w:tc>
          <w:tcPr>
            <w:tcW w:w="2494" w:type="dxa"/>
          </w:tcPr>
          <w:p w14:paraId="3EFE48BE" w14:textId="77777777" w:rsidR="000B5960" w:rsidRPr="00C34715" w:rsidRDefault="000B5960" w:rsidP="000B5960">
            <w:pPr>
              <w:rPr>
                <w:rFonts w:ascii="Arial" w:hAnsi="Arial" w:cs="Arial"/>
                <w:b/>
                <w:bCs/>
                <w:sz w:val="20"/>
                <w:szCs w:val="20"/>
              </w:rPr>
            </w:pPr>
            <w:r w:rsidRPr="00FE4697">
              <w:rPr>
                <w:rFonts w:ascii="Arial" w:hAnsi="Arial" w:cs="Arial"/>
                <w:b/>
                <w:bCs/>
                <w:sz w:val="20"/>
                <w:szCs w:val="20"/>
              </w:rPr>
              <w:t>Reporting</w:t>
            </w:r>
          </w:p>
        </w:tc>
        <w:tc>
          <w:tcPr>
            <w:tcW w:w="6417" w:type="dxa"/>
          </w:tcPr>
          <w:p w14:paraId="3C397997" w14:textId="77777777" w:rsidR="000B5960" w:rsidRPr="002E2899" w:rsidRDefault="000B5960" w:rsidP="000B5960">
            <w:pPr>
              <w:rPr>
                <w:rFonts w:ascii="Arial" w:hAnsi="Arial" w:cs="Arial"/>
                <w:sz w:val="20"/>
                <w:szCs w:val="20"/>
              </w:rPr>
            </w:pPr>
            <w:r w:rsidRPr="002E2899">
              <w:rPr>
                <w:rFonts w:ascii="Arial" w:hAnsi="Arial" w:cs="Arial"/>
                <w:sz w:val="20"/>
                <w:szCs w:val="20"/>
              </w:rPr>
              <w:t>Indicators (</w:t>
            </w:r>
            <w:r w:rsidRPr="00FE4697">
              <w:rPr>
                <w:rFonts w:ascii="Arial" w:hAnsi="Arial" w:cs="Arial"/>
                <w:i/>
                <w:iCs/>
                <w:sz w:val="20"/>
                <w:szCs w:val="20"/>
              </w:rPr>
              <w:t>Key Performance indicators/Key Monitoring Indicators to be defined</w:t>
            </w:r>
            <w:r w:rsidRPr="002E2899">
              <w:rPr>
                <w:rFonts w:ascii="Arial" w:hAnsi="Arial" w:cs="Arial"/>
                <w:sz w:val="20"/>
                <w:szCs w:val="20"/>
              </w:rPr>
              <w:t xml:space="preserve">). </w:t>
            </w:r>
          </w:p>
          <w:p w14:paraId="03FA6429" w14:textId="77777777" w:rsidR="000B5960" w:rsidRPr="002E2899" w:rsidRDefault="000B5960" w:rsidP="000B5960">
            <w:pPr>
              <w:rPr>
                <w:rFonts w:ascii="Arial" w:hAnsi="Arial" w:cs="Arial"/>
                <w:sz w:val="20"/>
                <w:szCs w:val="20"/>
              </w:rPr>
            </w:pPr>
            <w:r w:rsidRPr="002E2899">
              <w:rPr>
                <w:rFonts w:ascii="Arial" w:hAnsi="Arial" w:cs="Arial"/>
                <w:sz w:val="20"/>
                <w:szCs w:val="20"/>
              </w:rPr>
              <w:t>Reporting will be done in In line with Article 22(5) of the InvestEU Regulation.</w:t>
            </w:r>
          </w:p>
        </w:tc>
      </w:tr>
      <w:tr w:rsidR="000B5960" w:rsidRPr="002E2899" w14:paraId="05B3D548" w14:textId="77777777" w:rsidTr="000B5960">
        <w:trPr>
          <w:trHeight w:val="449"/>
        </w:trPr>
        <w:tc>
          <w:tcPr>
            <w:tcW w:w="1437" w:type="dxa"/>
          </w:tcPr>
          <w:p w14:paraId="535EF678" w14:textId="77777777" w:rsidR="000B5960" w:rsidRPr="00C34715" w:rsidRDefault="000B5960" w:rsidP="000B5960">
            <w:pPr>
              <w:rPr>
                <w:rFonts w:ascii="Arial" w:hAnsi="Arial" w:cs="Arial"/>
                <w:b/>
                <w:bCs/>
                <w:sz w:val="20"/>
                <w:szCs w:val="20"/>
              </w:rPr>
            </w:pPr>
            <w:r w:rsidRPr="00FE4697">
              <w:rPr>
                <w:rFonts w:ascii="Arial" w:hAnsi="Arial" w:cs="Arial"/>
                <w:b/>
                <w:bCs/>
                <w:sz w:val="20"/>
                <w:szCs w:val="20"/>
              </w:rPr>
              <w:t>24.</w:t>
            </w:r>
          </w:p>
        </w:tc>
        <w:tc>
          <w:tcPr>
            <w:tcW w:w="2494" w:type="dxa"/>
          </w:tcPr>
          <w:p w14:paraId="7D223AD9" w14:textId="77777777" w:rsidR="000B5960" w:rsidRPr="00C34715" w:rsidRDefault="000B5960" w:rsidP="000B5960">
            <w:pPr>
              <w:rPr>
                <w:rFonts w:ascii="Arial" w:hAnsi="Arial" w:cs="Arial"/>
                <w:b/>
                <w:bCs/>
                <w:sz w:val="20"/>
                <w:szCs w:val="20"/>
              </w:rPr>
            </w:pPr>
            <w:r w:rsidRPr="00FE4697">
              <w:rPr>
                <w:rFonts w:ascii="Arial" w:hAnsi="Arial" w:cs="Arial"/>
                <w:b/>
                <w:bCs/>
                <w:sz w:val="20"/>
                <w:szCs w:val="20"/>
              </w:rPr>
              <w:t>Other</w:t>
            </w:r>
          </w:p>
        </w:tc>
        <w:tc>
          <w:tcPr>
            <w:tcW w:w="6417" w:type="dxa"/>
          </w:tcPr>
          <w:p w14:paraId="25388E32" w14:textId="77777777" w:rsidR="000B5960" w:rsidRPr="008D6BCF" w:rsidRDefault="000B5960" w:rsidP="000B5960">
            <w:pPr>
              <w:rPr>
                <w:rFonts w:ascii="Arial" w:hAnsi="Arial" w:cs="Arial"/>
                <w:sz w:val="20"/>
                <w:szCs w:val="20"/>
              </w:rPr>
            </w:pPr>
            <w:r>
              <w:rPr>
                <w:rFonts w:ascii="Arial" w:hAnsi="Arial" w:cs="Arial"/>
                <w:iCs/>
                <w:sz w:val="20"/>
                <w:szCs w:val="20"/>
              </w:rPr>
              <w:t xml:space="preserve">N/A </w:t>
            </w:r>
            <w:r w:rsidRPr="008D6BCF">
              <w:rPr>
                <w:rFonts w:ascii="Arial" w:hAnsi="Arial" w:cs="Arial"/>
                <w:sz w:val="20"/>
                <w:szCs w:val="20"/>
              </w:rPr>
              <w:t xml:space="preserve"> </w:t>
            </w:r>
          </w:p>
        </w:tc>
      </w:tr>
    </w:tbl>
    <w:p w14:paraId="0B394FFD" w14:textId="1A9BF07B" w:rsidR="000B5960" w:rsidRDefault="000B5960" w:rsidP="000B5960">
      <w:pPr>
        <w:rPr>
          <w:sz w:val="4"/>
          <w:szCs w:val="4"/>
        </w:rPr>
      </w:pPr>
    </w:p>
    <w:p w14:paraId="6B655514" w14:textId="77777777" w:rsidR="005F35E7" w:rsidRPr="000B5960" w:rsidRDefault="005F35E7" w:rsidP="000B5960">
      <w:pPr>
        <w:rPr>
          <w:sz w:val="16"/>
          <w:szCs w:val="4"/>
        </w:rPr>
      </w:pPr>
    </w:p>
    <w:p w14:paraId="30FEDE5D" w14:textId="77777777" w:rsidR="00392BD0" w:rsidRPr="002E2899" w:rsidRDefault="00392BD0" w:rsidP="00392BD0">
      <w:pPr>
        <w:spacing w:line="240" w:lineRule="auto"/>
        <w:rPr>
          <w:rFonts w:ascii="Arial" w:hAnsi="Arial" w:cs="Arial"/>
          <w:sz w:val="20"/>
          <w:szCs w:val="20"/>
        </w:rPr>
      </w:pPr>
    </w:p>
    <w:p w14:paraId="3CA570AC" w14:textId="77777777" w:rsidR="00392BD0" w:rsidRPr="002E2899" w:rsidRDefault="00392BD0" w:rsidP="00392BD0">
      <w:pPr>
        <w:rPr>
          <w:rFonts w:ascii="Arial" w:hAnsi="Arial" w:cs="Arial"/>
          <w:sz w:val="20"/>
          <w:szCs w:val="20"/>
        </w:rPr>
      </w:pPr>
    </w:p>
    <w:sectPr w:rsidR="00392BD0" w:rsidRPr="002E2899" w:rsidSect="00490574">
      <w:headerReference w:type="even" r:id="rId11"/>
      <w:headerReference w:type="default" r:id="rId12"/>
      <w:footerReference w:type="even" r:id="rId13"/>
      <w:footerReference w:type="default" r:id="rId14"/>
      <w:headerReference w:type="first" r:id="rId15"/>
      <w:footerReference w:type="first" r:id="rId16"/>
      <w:type w:val="continuous"/>
      <w:pgSz w:w="11906" w:h="16838"/>
      <w:pgMar w:top="709" w:right="1440" w:bottom="1440"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ECFCDC" w14:textId="77777777" w:rsidR="00491548" w:rsidRDefault="00491548" w:rsidP="00FD0603">
      <w:pPr>
        <w:spacing w:after="0" w:line="240" w:lineRule="auto"/>
      </w:pPr>
      <w:r>
        <w:separator/>
      </w:r>
    </w:p>
  </w:endnote>
  <w:endnote w:type="continuationSeparator" w:id="0">
    <w:p w14:paraId="53357311" w14:textId="77777777" w:rsidR="00491548" w:rsidRDefault="00491548" w:rsidP="00FD0603">
      <w:pPr>
        <w:spacing w:after="0" w:line="240" w:lineRule="auto"/>
      </w:pPr>
      <w:r>
        <w:continuationSeparator/>
      </w:r>
    </w:p>
  </w:endnote>
  <w:endnote w:type="continuationNotice" w:id="1">
    <w:p w14:paraId="51CCF6EF" w14:textId="77777777" w:rsidR="00491548" w:rsidRDefault="004915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4D756" w14:textId="77777777" w:rsidR="00C349E2" w:rsidRDefault="00C349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3539572"/>
      <w:docPartObj>
        <w:docPartGallery w:val="Page Numbers (Bottom of Page)"/>
        <w:docPartUnique/>
      </w:docPartObj>
    </w:sdtPr>
    <w:sdtEndPr>
      <w:rPr>
        <w:noProof/>
      </w:rPr>
    </w:sdtEndPr>
    <w:sdtContent>
      <w:p w14:paraId="0D28FD45" w14:textId="0D0C5C54" w:rsidR="00684D2F" w:rsidRDefault="00684D2F">
        <w:pPr>
          <w:pStyle w:val="Footer"/>
          <w:jc w:val="center"/>
        </w:pPr>
        <w:r>
          <w:fldChar w:fldCharType="begin"/>
        </w:r>
        <w:r>
          <w:instrText xml:space="preserve"> PAGE   \* MERGEFORMAT </w:instrText>
        </w:r>
        <w:r>
          <w:fldChar w:fldCharType="separate"/>
        </w:r>
        <w:r w:rsidR="00DA0614">
          <w:rPr>
            <w:noProof/>
          </w:rPr>
          <w:t>2</w:t>
        </w:r>
        <w:r>
          <w:rPr>
            <w:noProof/>
          </w:rPr>
          <w:fldChar w:fldCharType="end"/>
        </w:r>
      </w:p>
    </w:sdtContent>
  </w:sdt>
  <w:p w14:paraId="78890A51" w14:textId="77777777" w:rsidR="00684D2F" w:rsidRDefault="00684D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CA449" w14:textId="77777777" w:rsidR="00C349E2" w:rsidRDefault="00C349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468FCA" w14:textId="77777777" w:rsidR="00491548" w:rsidRDefault="00491548" w:rsidP="00FD0603">
      <w:pPr>
        <w:spacing w:after="0" w:line="240" w:lineRule="auto"/>
      </w:pPr>
      <w:r>
        <w:separator/>
      </w:r>
    </w:p>
  </w:footnote>
  <w:footnote w:type="continuationSeparator" w:id="0">
    <w:p w14:paraId="68316CFD" w14:textId="77777777" w:rsidR="00491548" w:rsidRDefault="00491548" w:rsidP="00FD0603">
      <w:pPr>
        <w:spacing w:after="0" w:line="240" w:lineRule="auto"/>
      </w:pPr>
      <w:r>
        <w:continuationSeparator/>
      </w:r>
    </w:p>
  </w:footnote>
  <w:footnote w:type="continuationNotice" w:id="1">
    <w:p w14:paraId="68C51000" w14:textId="77777777" w:rsidR="00491548" w:rsidRDefault="00491548">
      <w:pPr>
        <w:spacing w:after="0" w:line="240" w:lineRule="auto"/>
      </w:pPr>
    </w:p>
  </w:footnote>
  <w:footnote w:id="2">
    <w:p w14:paraId="2DB963B4" w14:textId="77777777" w:rsidR="000B5960" w:rsidRPr="008C0F4F" w:rsidRDefault="000B5960" w:rsidP="000B5960">
      <w:pPr>
        <w:pStyle w:val="FootnoteText"/>
        <w:rPr>
          <w:lang w:val="en-US"/>
        </w:rPr>
      </w:pPr>
      <w:r>
        <w:rPr>
          <w:rStyle w:val="FootnoteReference"/>
        </w:rPr>
        <w:footnoteRef/>
      </w:r>
      <w:r>
        <w:t xml:space="preserve"> </w:t>
      </w:r>
      <w:r w:rsidRPr="008C0F4F">
        <w:rPr>
          <w:lang w:val="en-US"/>
        </w:rPr>
        <w:t>Regulation (EU) No 1315/2013</w:t>
      </w:r>
    </w:p>
  </w:footnote>
  <w:footnote w:id="3">
    <w:p w14:paraId="3C32ABBC" w14:textId="77777777" w:rsidR="000B5960" w:rsidRPr="00096A9E" w:rsidRDefault="000B5960" w:rsidP="000B5960">
      <w:pPr>
        <w:pStyle w:val="FootnoteText"/>
      </w:pPr>
      <w:r>
        <w:rPr>
          <w:rStyle w:val="FootnoteReference"/>
        </w:rPr>
        <w:footnoteRef/>
      </w:r>
      <w:r>
        <w:t xml:space="preserve"> </w:t>
      </w:r>
      <w:r w:rsidRPr="004866D6">
        <w:rPr>
          <w:rFonts w:ascii="Arial" w:hAnsi="Arial"/>
        </w:rPr>
        <w:t>The TEN-E Regulation (EU) 347/2013 aims to support Projects of Common Interest in resolving permitting, regulatory and financing barriers. The TEN-E regulation addresses financing issues of P</w:t>
      </w:r>
      <w:r>
        <w:rPr>
          <w:rFonts w:ascii="Arial" w:hAnsi="Arial"/>
        </w:rPr>
        <w:t>rojects of Common Interest (P</w:t>
      </w:r>
      <w:r w:rsidRPr="004866D6">
        <w:rPr>
          <w:rFonts w:ascii="Arial" w:hAnsi="Arial"/>
        </w:rPr>
        <w:t>CI</w:t>
      </w:r>
      <w:r>
        <w:rPr>
          <w:rFonts w:ascii="Arial" w:hAnsi="Arial"/>
        </w:rPr>
        <w:t>s)</w:t>
      </w:r>
      <w:r w:rsidRPr="00E06646">
        <w:rPr>
          <w:rFonts w:ascii="Arial" w:hAnsi="Arial"/>
        </w:rPr>
        <w:t xml:space="preserve"> </w:t>
      </w:r>
      <w:r>
        <w:rPr>
          <w:rFonts w:ascii="Arial" w:hAnsi="Arial"/>
        </w:rPr>
        <w:t xml:space="preserve">via grants </w:t>
      </w:r>
      <w:r w:rsidRPr="00E06646">
        <w:rPr>
          <w:rFonts w:ascii="Arial" w:hAnsi="Arial"/>
        </w:rPr>
        <w:t>under the Connecting Europe Facility</w:t>
      </w:r>
      <w:r>
        <w:rPr>
          <w:rFonts w:ascii="Arial" w:hAnsi="Arial"/>
        </w:rPr>
        <w:t xml:space="preserve"> (CEF) Grants</w:t>
      </w:r>
      <w:r w:rsidRPr="00E06646">
        <w:rPr>
          <w:rFonts w:ascii="Arial" w:hAnsi="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14974" w14:textId="77777777" w:rsidR="00C349E2" w:rsidRDefault="00C349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53840" w14:textId="77777777" w:rsidR="00C349E2" w:rsidRDefault="00C349E2" w:rsidP="00C349E2">
    <w:pPr>
      <w:spacing w:after="0"/>
      <w:jc w:val="center"/>
      <w:rPr>
        <w:rFonts w:ascii="Arial" w:hAnsi="Arial"/>
        <w:b/>
        <w:szCs w:val="24"/>
      </w:rPr>
    </w:pPr>
    <w:r>
      <w:rPr>
        <w:rFonts w:ascii="Arial" w:hAnsi="Arial"/>
        <w:b/>
        <w:szCs w:val="24"/>
      </w:rPr>
      <w:t>InvestEU Fund – EU compartment</w:t>
    </w:r>
  </w:p>
  <w:p w14:paraId="2EFBCB6A" w14:textId="77777777" w:rsidR="00C349E2" w:rsidRPr="00895923" w:rsidRDefault="00C349E2" w:rsidP="00895923">
    <w:pPr>
      <w:spacing w:after="0"/>
      <w:jc w:val="center"/>
      <w:rPr>
        <w:rFonts w:ascii="Arial" w:hAnsi="Arial"/>
        <w:b/>
        <w:szCs w:val="24"/>
      </w:rPr>
    </w:pPr>
    <w:r>
      <w:rPr>
        <w:rFonts w:ascii="Arial" w:hAnsi="Arial"/>
        <w:b/>
        <w:szCs w:val="24"/>
      </w:rPr>
      <w:t xml:space="preserve">Draft </w:t>
    </w:r>
    <w:r w:rsidRPr="00360490">
      <w:rPr>
        <w:rFonts w:ascii="Arial" w:hAnsi="Arial"/>
        <w:b/>
        <w:szCs w:val="24"/>
      </w:rPr>
      <w:t>Financial P</w:t>
    </w:r>
    <w:r w:rsidRPr="0091475F">
      <w:rPr>
        <w:rFonts w:ascii="Arial" w:hAnsi="Arial"/>
        <w:b/>
        <w:szCs w:val="24"/>
      </w:rPr>
      <w:t xml:space="preserve">roduct </w:t>
    </w:r>
    <w:r>
      <w:rPr>
        <w:rFonts w:ascii="Arial" w:hAnsi="Arial"/>
        <w:b/>
        <w:szCs w:val="24"/>
      </w:rPr>
      <w:t>Sheet</w:t>
    </w:r>
    <w:r w:rsidRPr="00587BBB">
      <w:rPr>
        <w:rFonts w:ascii="Arial" w:hAnsi="Arial"/>
        <w:b/>
        <w:szCs w:val="24"/>
      </w:rPr>
      <w:t xml:space="preserve"> </w:t>
    </w:r>
    <w:r>
      <w:rPr>
        <w:rFonts w:ascii="Arial" w:hAnsi="Arial"/>
        <w:b/>
        <w:szCs w:val="24"/>
      </w:rPr>
      <w:t xml:space="preserve">(‘Product Fiche’) - </w:t>
    </w:r>
    <w:r w:rsidRPr="00895923">
      <w:rPr>
        <w:rFonts w:ascii="Arial" w:hAnsi="Arial"/>
        <w:b/>
        <w:szCs w:val="24"/>
      </w:rPr>
      <w:t>SIW General debt</w:t>
    </w:r>
  </w:p>
  <w:p w14:paraId="0CB76506" w14:textId="77777777" w:rsidR="00684D2F" w:rsidRPr="00895923" w:rsidRDefault="00C349E2" w:rsidP="00895923">
    <w:pPr>
      <w:spacing w:after="0"/>
      <w:jc w:val="center"/>
      <w:rPr>
        <w:rFonts w:ascii="Arial" w:hAnsi="Arial"/>
        <w:b/>
        <w:szCs w:val="24"/>
      </w:rPr>
    </w:pPr>
    <w:r>
      <w:rPr>
        <w:rFonts w:ascii="Arial" w:hAnsi="Arial"/>
        <w:b/>
        <w:szCs w:val="24"/>
      </w:rPr>
      <w:t>- November 2019 -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C22EB" w14:textId="77777777" w:rsidR="00C349E2" w:rsidRDefault="00C349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A1711"/>
    <w:multiLevelType w:val="hybridMultilevel"/>
    <w:tmpl w:val="5C361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7D5319"/>
    <w:multiLevelType w:val="hybridMultilevel"/>
    <w:tmpl w:val="B04E47B6"/>
    <w:lvl w:ilvl="0" w:tplc="9522A36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7A758E"/>
    <w:multiLevelType w:val="hybridMultilevel"/>
    <w:tmpl w:val="37029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836FC3"/>
    <w:multiLevelType w:val="hybridMultilevel"/>
    <w:tmpl w:val="CB3C51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4890A2C"/>
    <w:multiLevelType w:val="hybridMultilevel"/>
    <w:tmpl w:val="65AE6460"/>
    <w:lvl w:ilvl="0" w:tplc="D390B16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58B2EF7"/>
    <w:multiLevelType w:val="hybridMultilevel"/>
    <w:tmpl w:val="FB5C8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B752DF"/>
    <w:multiLevelType w:val="hybridMultilevel"/>
    <w:tmpl w:val="68FCF9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D20ACA"/>
    <w:multiLevelType w:val="hybridMultilevel"/>
    <w:tmpl w:val="1AF21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F241B8"/>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1A9E4C59"/>
    <w:multiLevelType w:val="hybridMultilevel"/>
    <w:tmpl w:val="BE02D258"/>
    <w:lvl w:ilvl="0" w:tplc="90966C42">
      <w:numFmt w:val="bullet"/>
      <w:lvlText w:val="-"/>
      <w:lvlJc w:val="left"/>
      <w:pPr>
        <w:ind w:left="420" w:hanging="360"/>
      </w:pPr>
      <w:rPr>
        <w:rFonts w:ascii="Arial" w:eastAsia="Times New Roman" w:hAnsi="Arial" w:cs="Arial" w:hint="default"/>
      </w:rPr>
    </w:lvl>
    <w:lvl w:ilvl="1" w:tplc="080C0003" w:tentative="1">
      <w:start w:val="1"/>
      <w:numFmt w:val="bullet"/>
      <w:lvlText w:val="o"/>
      <w:lvlJc w:val="left"/>
      <w:pPr>
        <w:ind w:left="1140" w:hanging="360"/>
      </w:pPr>
      <w:rPr>
        <w:rFonts w:ascii="Courier New" w:hAnsi="Courier New" w:cs="Courier New" w:hint="default"/>
      </w:rPr>
    </w:lvl>
    <w:lvl w:ilvl="2" w:tplc="080C0005" w:tentative="1">
      <w:start w:val="1"/>
      <w:numFmt w:val="bullet"/>
      <w:lvlText w:val=""/>
      <w:lvlJc w:val="left"/>
      <w:pPr>
        <w:ind w:left="1860" w:hanging="360"/>
      </w:pPr>
      <w:rPr>
        <w:rFonts w:ascii="Wingdings" w:hAnsi="Wingdings" w:hint="default"/>
      </w:rPr>
    </w:lvl>
    <w:lvl w:ilvl="3" w:tplc="080C0001" w:tentative="1">
      <w:start w:val="1"/>
      <w:numFmt w:val="bullet"/>
      <w:lvlText w:val=""/>
      <w:lvlJc w:val="left"/>
      <w:pPr>
        <w:ind w:left="2580" w:hanging="360"/>
      </w:pPr>
      <w:rPr>
        <w:rFonts w:ascii="Symbol" w:hAnsi="Symbol" w:hint="default"/>
      </w:rPr>
    </w:lvl>
    <w:lvl w:ilvl="4" w:tplc="080C0003" w:tentative="1">
      <w:start w:val="1"/>
      <w:numFmt w:val="bullet"/>
      <w:lvlText w:val="o"/>
      <w:lvlJc w:val="left"/>
      <w:pPr>
        <w:ind w:left="3300" w:hanging="360"/>
      </w:pPr>
      <w:rPr>
        <w:rFonts w:ascii="Courier New" w:hAnsi="Courier New" w:cs="Courier New" w:hint="default"/>
      </w:rPr>
    </w:lvl>
    <w:lvl w:ilvl="5" w:tplc="080C0005" w:tentative="1">
      <w:start w:val="1"/>
      <w:numFmt w:val="bullet"/>
      <w:lvlText w:val=""/>
      <w:lvlJc w:val="left"/>
      <w:pPr>
        <w:ind w:left="4020" w:hanging="360"/>
      </w:pPr>
      <w:rPr>
        <w:rFonts w:ascii="Wingdings" w:hAnsi="Wingdings" w:hint="default"/>
      </w:rPr>
    </w:lvl>
    <w:lvl w:ilvl="6" w:tplc="080C0001" w:tentative="1">
      <w:start w:val="1"/>
      <w:numFmt w:val="bullet"/>
      <w:lvlText w:val=""/>
      <w:lvlJc w:val="left"/>
      <w:pPr>
        <w:ind w:left="4740" w:hanging="360"/>
      </w:pPr>
      <w:rPr>
        <w:rFonts w:ascii="Symbol" w:hAnsi="Symbol" w:hint="default"/>
      </w:rPr>
    </w:lvl>
    <w:lvl w:ilvl="7" w:tplc="080C0003" w:tentative="1">
      <w:start w:val="1"/>
      <w:numFmt w:val="bullet"/>
      <w:lvlText w:val="o"/>
      <w:lvlJc w:val="left"/>
      <w:pPr>
        <w:ind w:left="5460" w:hanging="360"/>
      </w:pPr>
      <w:rPr>
        <w:rFonts w:ascii="Courier New" w:hAnsi="Courier New" w:cs="Courier New" w:hint="default"/>
      </w:rPr>
    </w:lvl>
    <w:lvl w:ilvl="8" w:tplc="080C0005" w:tentative="1">
      <w:start w:val="1"/>
      <w:numFmt w:val="bullet"/>
      <w:lvlText w:val=""/>
      <w:lvlJc w:val="left"/>
      <w:pPr>
        <w:ind w:left="6180" w:hanging="360"/>
      </w:pPr>
      <w:rPr>
        <w:rFonts w:ascii="Wingdings" w:hAnsi="Wingdings" w:hint="default"/>
      </w:rPr>
    </w:lvl>
  </w:abstractNum>
  <w:abstractNum w:abstractNumId="10" w15:restartNumberingAfterBreak="0">
    <w:nsid w:val="1B165721"/>
    <w:multiLevelType w:val="hybridMultilevel"/>
    <w:tmpl w:val="A3AC7AB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796975"/>
    <w:multiLevelType w:val="hybridMultilevel"/>
    <w:tmpl w:val="56CAFD74"/>
    <w:lvl w:ilvl="0" w:tplc="8DBA9C18">
      <w:start w:val="4"/>
      <w:numFmt w:val="bullet"/>
      <w:lvlText w:val="-"/>
      <w:lvlJc w:val="left"/>
      <w:pPr>
        <w:ind w:left="1080" w:hanging="360"/>
      </w:pPr>
      <w:rPr>
        <w:rFonts w:ascii="Arial" w:eastAsiaTheme="minorHAnsi" w:hAnsi="Arial" w:cs="Arial" w:hint="default"/>
      </w:rPr>
    </w:lvl>
    <w:lvl w:ilvl="1" w:tplc="CF6CE0D0">
      <w:numFmt w:val="bullet"/>
      <w:lvlText w:val="•"/>
      <w:lvlJc w:val="left"/>
      <w:pPr>
        <w:ind w:left="2160" w:hanging="720"/>
      </w:pPr>
      <w:rPr>
        <w:rFonts w:ascii="Arial" w:eastAsiaTheme="minorHAnsi"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2427E53"/>
    <w:multiLevelType w:val="hybridMultilevel"/>
    <w:tmpl w:val="1A848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065964"/>
    <w:multiLevelType w:val="hybridMultilevel"/>
    <w:tmpl w:val="35566FA2"/>
    <w:lvl w:ilvl="0" w:tplc="0044AB9C">
      <w:start w:val="1"/>
      <w:numFmt w:val="decimal"/>
      <w:lvlText w:val="%1."/>
      <w:lvlJc w:val="left"/>
      <w:pPr>
        <w:ind w:left="792" w:hanging="360"/>
      </w:pPr>
      <w:rPr>
        <w:rFonts w:hint="default"/>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14" w15:restartNumberingAfterBreak="0">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EFB7EB8"/>
    <w:multiLevelType w:val="hybridMultilevel"/>
    <w:tmpl w:val="40F6AC32"/>
    <w:lvl w:ilvl="0" w:tplc="08090001">
      <w:start w:val="1"/>
      <w:numFmt w:val="bullet"/>
      <w:lvlText w:val=""/>
      <w:lvlJc w:val="left"/>
      <w:pPr>
        <w:ind w:left="1080" w:hanging="360"/>
      </w:pPr>
      <w:rPr>
        <w:rFonts w:ascii="Symbol" w:hAnsi="Symbol" w:hint="default"/>
      </w:rPr>
    </w:lvl>
    <w:lvl w:ilvl="1" w:tplc="CF6CE0D0">
      <w:numFmt w:val="bullet"/>
      <w:lvlText w:val="•"/>
      <w:lvlJc w:val="left"/>
      <w:pPr>
        <w:ind w:left="2160" w:hanging="720"/>
      </w:pPr>
      <w:rPr>
        <w:rFonts w:ascii="Arial" w:eastAsiaTheme="minorHAnsi"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F6C0A75"/>
    <w:multiLevelType w:val="hybridMultilevel"/>
    <w:tmpl w:val="CDC8F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265630"/>
    <w:multiLevelType w:val="hybridMultilevel"/>
    <w:tmpl w:val="EF9E0FA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80E3BAE"/>
    <w:multiLevelType w:val="hybridMultilevel"/>
    <w:tmpl w:val="7F8C8B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9A8304A"/>
    <w:multiLevelType w:val="hybridMultilevel"/>
    <w:tmpl w:val="83107B94"/>
    <w:lvl w:ilvl="0" w:tplc="8E083C2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2A06E3"/>
    <w:multiLevelType w:val="hybridMultilevel"/>
    <w:tmpl w:val="BCC0A2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E93446A"/>
    <w:multiLevelType w:val="hybridMultilevel"/>
    <w:tmpl w:val="5BEAAAC6"/>
    <w:lvl w:ilvl="0" w:tplc="FE00DA46">
      <w:start w:val="1"/>
      <w:numFmt w:val="lowerLetter"/>
      <w:lvlText w:val="%1)"/>
      <w:lvlJc w:val="left"/>
      <w:pPr>
        <w:ind w:left="720" w:hanging="360"/>
      </w:pPr>
      <w:rPr>
        <w:rFonts w:ascii="Arial" w:hAnsi="Arial" w:cs="Arial"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74791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85E109C"/>
    <w:multiLevelType w:val="hybridMultilevel"/>
    <w:tmpl w:val="C4466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5E2DB7"/>
    <w:multiLevelType w:val="hybridMultilevel"/>
    <w:tmpl w:val="20B66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200604"/>
    <w:multiLevelType w:val="hybridMultilevel"/>
    <w:tmpl w:val="E94813C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7522112"/>
    <w:multiLevelType w:val="hybridMultilevel"/>
    <w:tmpl w:val="A95E2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E974D3"/>
    <w:multiLevelType w:val="hybridMultilevel"/>
    <w:tmpl w:val="16983B70"/>
    <w:lvl w:ilvl="0" w:tplc="08090001">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730D26"/>
    <w:multiLevelType w:val="hybridMultilevel"/>
    <w:tmpl w:val="498A8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0601CC"/>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0" w15:restartNumberingAfterBreak="0">
    <w:nsid w:val="6918079A"/>
    <w:multiLevelType w:val="hybridMultilevel"/>
    <w:tmpl w:val="9C3A050A"/>
    <w:lvl w:ilvl="0" w:tplc="08090001">
      <w:start w:val="1"/>
      <w:numFmt w:val="bullet"/>
      <w:lvlText w:val=""/>
      <w:lvlJc w:val="left"/>
      <w:pPr>
        <w:ind w:left="720" w:hanging="360"/>
      </w:pPr>
      <w:rPr>
        <w:rFonts w:ascii="Symbol" w:hAnsi="Symbol" w:hint="default"/>
      </w:rPr>
    </w:lvl>
    <w:lvl w:ilvl="1" w:tplc="C4A8020C">
      <w:start w:val="4"/>
      <w:numFmt w:val="bullet"/>
      <w:lvlText w:val="-"/>
      <w:lvlJc w:val="left"/>
      <w:pPr>
        <w:ind w:left="1440" w:hanging="36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996232"/>
    <w:multiLevelType w:val="hybridMultilevel"/>
    <w:tmpl w:val="D0689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C544EC"/>
    <w:multiLevelType w:val="hybridMultilevel"/>
    <w:tmpl w:val="57F835BE"/>
    <w:lvl w:ilvl="0" w:tplc="7E8E7328">
      <w:start w:val="1"/>
      <w:numFmt w:val="decimal"/>
      <w:lvlText w:val="%1."/>
      <w:lvlJc w:val="left"/>
      <w:pPr>
        <w:ind w:left="1152" w:hanging="360"/>
      </w:pPr>
      <w:rPr>
        <w:rFonts w:hint="default"/>
      </w:r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33" w15:restartNumberingAfterBreak="0">
    <w:nsid w:val="6DD37B6D"/>
    <w:multiLevelType w:val="hybridMultilevel"/>
    <w:tmpl w:val="033C8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AC6CFE"/>
    <w:multiLevelType w:val="hybridMultilevel"/>
    <w:tmpl w:val="3744A10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5" w15:restartNumberingAfterBreak="0">
    <w:nsid w:val="71F34F42"/>
    <w:multiLevelType w:val="hybridMultilevel"/>
    <w:tmpl w:val="A88CA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577E2A"/>
    <w:multiLevelType w:val="multilevel"/>
    <w:tmpl w:val="DE5CF710"/>
    <w:lvl w:ilvl="0">
      <w:start w:val="3"/>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7" w15:restartNumberingAfterBreak="0">
    <w:nsid w:val="775B3EB9"/>
    <w:multiLevelType w:val="multilevel"/>
    <w:tmpl w:val="9CF02B6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15:restartNumberingAfterBreak="0">
    <w:nsid w:val="78250173"/>
    <w:multiLevelType w:val="hybridMultilevel"/>
    <w:tmpl w:val="AB0C56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8"/>
  </w:num>
  <w:num w:numId="3">
    <w:abstractNumId w:val="27"/>
  </w:num>
  <w:num w:numId="4">
    <w:abstractNumId w:val="38"/>
  </w:num>
  <w:num w:numId="5">
    <w:abstractNumId w:val="21"/>
  </w:num>
  <w:num w:numId="6">
    <w:abstractNumId w:val="30"/>
  </w:num>
  <w:num w:numId="7">
    <w:abstractNumId w:val="10"/>
  </w:num>
  <w:num w:numId="8">
    <w:abstractNumId w:val="14"/>
  </w:num>
  <w:num w:numId="9">
    <w:abstractNumId w:val="5"/>
  </w:num>
  <w:num w:numId="10">
    <w:abstractNumId w:val="33"/>
  </w:num>
  <w:num w:numId="11">
    <w:abstractNumId w:val="31"/>
  </w:num>
  <w:num w:numId="12">
    <w:abstractNumId w:val="28"/>
  </w:num>
  <w:num w:numId="13">
    <w:abstractNumId w:val="7"/>
  </w:num>
  <w:num w:numId="14">
    <w:abstractNumId w:val="26"/>
  </w:num>
  <w:num w:numId="15">
    <w:abstractNumId w:val="12"/>
  </w:num>
  <w:num w:numId="16">
    <w:abstractNumId w:val="19"/>
  </w:num>
  <w:num w:numId="17">
    <w:abstractNumId w:val="20"/>
  </w:num>
  <w:num w:numId="18">
    <w:abstractNumId w:val="16"/>
  </w:num>
  <w:num w:numId="19">
    <w:abstractNumId w:val="1"/>
  </w:num>
  <w:num w:numId="20">
    <w:abstractNumId w:val="13"/>
  </w:num>
  <w:num w:numId="21">
    <w:abstractNumId w:val="32"/>
  </w:num>
  <w:num w:numId="22">
    <w:abstractNumId w:val="37"/>
  </w:num>
  <w:num w:numId="23">
    <w:abstractNumId w:val="36"/>
  </w:num>
  <w:num w:numId="24">
    <w:abstractNumId w:val="9"/>
  </w:num>
  <w:num w:numId="25">
    <w:abstractNumId w:val="4"/>
  </w:num>
  <w:num w:numId="26">
    <w:abstractNumId w:val="11"/>
  </w:num>
  <w:num w:numId="27">
    <w:abstractNumId w:val="2"/>
  </w:num>
  <w:num w:numId="28">
    <w:abstractNumId w:val="22"/>
  </w:num>
  <w:num w:numId="29">
    <w:abstractNumId w:val="34"/>
  </w:num>
  <w:num w:numId="30">
    <w:abstractNumId w:val="17"/>
  </w:num>
  <w:num w:numId="31">
    <w:abstractNumId w:val="3"/>
  </w:num>
  <w:num w:numId="32">
    <w:abstractNumId w:val="25"/>
  </w:num>
  <w:num w:numId="33">
    <w:abstractNumId w:val="18"/>
  </w:num>
  <w:num w:numId="34">
    <w:abstractNumId w:val="0"/>
  </w:num>
  <w:num w:numId="35">
    <w:abstractNumId w:val="35"/>
  </w:num>
  <w:num w:numId="36">
    <w:abstractNumId w:val="23"/>
  </w:num>
  <w:num w:numId="37">
    <w:abstractNumId w:val="24"/>
  </w:num>
  <w:num w:numId="38">
    <w:abstractNumId w:val="15"/>
  </w:num>
  <w:num w:numId="39">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de-DE" w:vendorID="64" w:dllVersion="131078" w:nlCheck="1" w:checkStyle="0"/>
  <w:activeWritingStyle w:appName="MSWord" w:lang="en-GB" w:vendorID="64" w:dllVersion="131078" w:nlCheck="1" w:checkStyle="1"/>
  <w:activeWritingStyle w:appName="MSWord" w:lang="en-IE" w:vendorID="64" w:dllVersion="131078" w:nlCheck="1" w:checkStyle="1"/>
  <w:activeWritingStyle w:appName="MSWord" w:lang="fr-BE" w:vendorID="64" w:dllVersion="131078" w:nlCheck="1" w:checkStyle="0"/>
  <w:activeWritingStyle w:appName="MSWord" w:lang="en-US" w:vendorID="64" w:dllVersion="131078" w:nlCheck="1" w:checkStyle="1"/>
  <w:activeWritingStyle w:appName="MSWord" w:lang="fr-FR" w:vendorID="64" w:dllVersion="131078" w:nlCheck="1" w:checkStyle="0"/>
  <w:activeWritingStyle w:appName="MSWord" w:lang="it-IT" w:vendorID="64" w:dllVersion="131078" w:nlCheck="1" w:checkStyle="0"/>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92778E"/>
    <w:rsid w:val="000004D8"/>
    <w:rsid w:val="000013C8"/>
    <w:rsid w:val="00002A49"/>
    <w:rsid w:val="000034D9"/>
    <w:rsid w:val="0000615B"/>
    <w:rsid w:val="00007620"/>
    <w:rsid w:val="00010507"/>
    <w:rsid w:val="00011898"/>
    <w:rsid w:val="00012D34"/>
    <w:rsid w:val="000143C6"/>
    <w:rsid w:val="00015795"/>
    <w:rsid w:val="00015E49"/>
    <w:rsid w:val="00021D2D"/>
    <w:rsid w:val="00024276"/>
    <w:rsid w:val="000363B2"/>
    <w:rsid w:val="00037DB1"/>
    <w:rsid w:val="00040046"/>
    <w:rsid w:val="000414BC"/>
    <w:rsid w:val="00055C28"/>
    <w:rsid w:val="0005709E"/>
    <w:rsid w:val="00057A2B"/>
    <w:rsid w:val="00063097"/>
    <w:rsid w:val="00065691"/>
    <w:rsid w:val="00071071"/>
    <w:rsid w:val="00072F02"/>
    <w:rsid w:val="00077768"/>
    <w:rsid w:val="00082781"/>
    <w:rsid w:val="0008440D"/>
    <w:rsid w:val="0009390B"/>
    <w:rsid w:val="00093CBF"/>
    <w:rsid w:val="00096A9E"/>
    <w:rsid w:val="000A0ABB"/>
    <w:rsid w:val="000A1D64"/>
    <w:rsid w:val="000A653F"/>
    <w:rsid w:val="000A784A"/>
    <w:rsid w:val="000A7E5E"/>
    <w:rsid w:val="000B5960"/>
    <w:rsid w:val="000B6257"/>
    <w:rsid w:val="000C3AD1"/>
    <w:rsid w:val="000C4B54"/>
    <w:rsid w:val="000C562F"/>
    <w:rsid w:val="000C79BD"/>
    <w:rsid w:val="000C7E55"/>
    <w:rsid w:val="000D1BAA"/>
    <w:rsid w:val="000D33EA"/>
    <w:rsid w:val="000D3EDF"/>
    <w:rsid w:val="000D635C"/>
    <w:rsid w:val="000D6542"/>
    <w:rsid w:val="000E02D6"/>
    <w:rsid w:val="000E2FDD"/>
    <w:rsid w:val="000F0912"/>
    <w:rsid w:val="000F1FCC"/>
    <w:rsid w:val="000F2757"/>
    <w:rsid w:val="000F2F0B"/>
    <w:rsid w:val="000F546E"/>
    <w:rsid w:val="001007C2"/>
    <w:rsid w:val="0010342C"/>
    <w:rsid w:val="00113FB8"/>
    <w:rsid w:val="001155C2"/>
    <w:rsid w:val="00121606"/>
    <w:rsid w:val="00121CCE"/>
    <w:rsid w:val="001234CD"/>
    <w:rsid w:val="001237C7"/>
    <w:rsid w:val="001263E8"/>
    <w:rsid w:val="00130113"/>
    <w:rsid w:val="0013766D"/>
    <w:rsid w:val="00137AB2"/>
    <w:rsid w:val="00140027"/>
    <w:rsid w:val="001473E8"/>
    <w:rsid w:val="001525B5"/>
    <w:rsid w:val="00152AC1"/>
    <w:rsid w:val="00155839"/>
    <w:rsid w:val="001630E9"/>
    <w:rsid w:val="0016589B"/>
    <w:rsid w:val="0017051C"/>
    <w:rsid w:val="0017584D"/>
    <w:rsid w:val="001763CA"/>
    <w:rsid w:val="00182A68"/>
    <w:rsid w:val="001836C8"/>
    <w:rsid w:val="0018420B"/>
    <w:rsid w:val="00184872"/>
    <w:rsid w:val="00192342"/>
    <w:rsid w:val="00193C8D"/>
    <w:rsid w:val="00194A65"/>
    <w:rsid w:val="001971B3"/>
    <w:rsid w:val="001A4A26"/>
    <w:rsid w:val="001B093E"/>
    <w:rsid w:val="001B0CAB"/>
    <w:rsid w:val="001B4732"/>
    <w:rsid w:val="001B473B"/>
    <w:rsid w:val="001C3BBC"/>
    <w:rsid w:val="001C4B58"/>
    <w:rsid w:val="001C7FED"/>
    <w:rsid w:val="001D4DDA"/>
    <w:rsid w:val="001D6670"/>
    <w:rsid w:val="001E09C6"/>
    <w:rsid w:val="001E229B"/>
    <w:rsid w:val="001E27A1"/>
    <w:rsid w:val="001E534B"/>
    <w:rsid w:val="001F2B1E"/>
    <w:rsid w:val="001F3DF3"/>
    <w:rsid w:val="001F4607"/>
    <w:rsid w:val="001F5F0B"/>
    <w:rsid w:val="00200871"/>
    <w:rsid w:val="00201E63"/>
    <w:rsid w:val="0020464A"/>
    <w:rsid w:val="00207218"/>
    <w:rsid w:val="00214492"/>
    <w:rsid w:val="002159CE"/>
    <w:rsid w:val="00217700"/>
    <w:rsid w:val="00220CB0"/>
    <w:rsid w:val="00222CC3"/>
    <w:rsid w:val="00227F07"/>
    <w:rsid w:val="00232E21"/>
    <w:rsid w:val="00234C91"/>
    <w:rsid w:val="00235D8F"/>
    <w:rsid w:val="00235F1E"/>
    <w:rsid w:val="002409FA"/>
    <w:rsid w:val="00244159"/>
    <w:rsid w:val="002468BA"/>
    <w:rsid w:val="00247C5F"/>
    <w:rsid w:val="00247EE5"/>
    <w:rsid w:val="0025237E"/>
    <w:rsid w:val="00252677"/>
    <w:rsid w:val="00257A5E"/>
    <w:rsid w:val="00260AA5"/>
    <w:rsid w:val="002626D5"/>
    <w:rsid w:val="0027008C"/>
    <w:rsid w:val="002766FC"/>
    <w:rsid w:val="00280511"/>
    <w:rsid w:val="00282920"/>
    <w:rsid w:val="0028392F"/>
    <w:rsid w:val="00285103"/>
    <w:rsid w:val="002917AD"/>
    <w:rsid w:val="00295C83"/>
    <w:rsid w:val="00295EFF"/>
    <w:rsid w:val="00296FF5"/>
    <w:rsid w:val="002A4AAC"/>
    <w:rsid w:val="002B2C0F"/>
    <w:rsid w:val="002B5822"/>
    <w:rsid w:val="002C09AC"/>
    <w:rsid w:val="002C0A44"/>
    <w:rsid w:val="002C0B8D"/>
    <w:rsid w:val="002D1D7F"/>
    <w:rsid w:val="002D71B3"/>
    <w:rsid w:val="002E0600"/>
    <w:rsid w:val="002E1288"/>
    <w:rsid w:val="002E2899"/>
    <w:rsid w:val="002E2F48"/>
    <w:rsid w:val="002E3815"/>
    <w:rsid w:val="002E3910"/>
    <w:rsid w:val="002E4BFF"/>
    <w:rsid w:val="002E582D"/>
    <w:rsid w:val="002E77D7"/>
    <w:rsid w:val="002F1975"/>
    <w:rsid w:val="002F2581"/>
    <w:rsid w:val="002F38F3"/>
    <w:rsid w:val="002F390D"/>
    <w:rsid w:val="003047CC"/>
    <w:rsid w:val="0031002C"/>
    <w:rsid w:val="00313CF7"/>
    <w:rsid w:val="00333D66"/>
    <w:rsid w:val="00335768"/>
    <w:rsid w:val="00340552"/>
    <w:rsid w:val="003466BF"/>
    <w:rsid w:val="00351136"/>
    <w:rsid w:val="00353FE5"/>
    <w:rsid w:val="00355E1D"/>
    <w:rsid w:val="0036329E"/>
    <w:rsid w:val="00363DBE"/>
    <w:rsid w:val="00364F84"/>
    <w:rsid w:val="00366214"/>
    <w:rsid w:val="00380AD3"/>
    <w:rsid w:val="00387C09"/>
    <w:rsid w:val="00392BD0"/>
    <w:rsid w:val="00392BF9"/>
    <w:rsid w:val="0039417C"/>
    <w:rsid w:val="00397382"/>
    <w:rsid w:val="003A0257"/>
    <w:rsid w:val="003A19D4"/>
    <w:rsid w:val="003A3B09"/>
    <w:rsid w:val="003B0178"/>
    <w:rsid w:val="003B0220"/>
    <w:rsid w:val="003B3A22"/>
    <w:rsid w:val="003B5B53"/>
    <w:rsid w:val="003D0929"/>
    <w:rsid w:val="003D0E13"/>
    <w:rsid w:val="003D1963"/>
    <w:rsid w:val="003D2CBB"/>
    <w:rsid w:val="003D6097"/>
    <w:rsid w:val="003D6928"/>
    <w:rsid w:val="003E3F89"/>
    <w:rsid w:val="003E4974"/>
    <w:rsid w:val="003E53F9"/>
    <w:rsid w:val="0040037B"/>
    <w:rsid w:val="0040067F"/>
    <w:rsid w:val="0040427A"/>
    <w:rsid w:val="004047D6"/>
    <w:rsid w:val="00407312"/>
    <w:rsid w:val="00410114"/>
    <w:rsid w:val="00410D51"/>
    <w:rsid w:val="00411896"/>
    <w:rsid w:val="00412D06"/>
    <w:rsid w:val="00417D14"/>
    <w:rsid w:val="00421068"/>
    <w:rsid w:val="0042360A"/>
    <w:rsid w:val="0042553D"/>
    <w:rsid w:val="004319F9"/>
    <w:rsid w:val="00431CC0"/>
    <w:rsid w:val="00432454"/>
    <w:rsid w:val="00436AF4"/>
    <w:rsid w:val="004473E7"/>
    <w:rsid w:val="00451C50"/>
    <w:rsid w:val="004531B1"/>
    <w:rsid w:val="00454106"/>
    <w:rsid w:val="004549D0"/>
    <w:rsid w:val="0045603F"/>
    <w:rsid w:val="004571E2"/>
    <w:rsid w:val="004648AC"/>
    <w:rsid w:val="004728AC"/>
    <w:rsid w:val="00473059"/>
    <w:rsid w:val="0047310C"/>
    <w:rsid w:val="00476658"/>
    <w:rsid w:val="00481BA0"/>
    <w:rsid w:val="00482FD4"/>
    <w:rsid w:val="00490574"/>
    <w:rsid w:val="00491548"/>
    <w:rsid w:val="00493B7D"/>
    <w:rsid w:val="004A0CB2"/>
    <w:rsid w:val="004A22C3"/>
    <w:rsid w:val="004A2CDC"/>
    <w:rsid w:val="004A3E1B"/>
    <w:rsid w:val="004B03E3"/>
    <w:rsid w:val="004B2304"/>
    <w:rsid w:val="004B2358"/>
    <w:rsid w:val="004B2F7D"/>
    <w:rsid w:val="004B5068"/>
    <w:rsid w:val="004C1100"/>
    <w:rsid w:val="004C1A51"/>
    <w:rsid w:val="004D11FA"/>
    <w:rsid w:val="004D1B7C"/>
    <w:rsid w:val="004E0F96"/>
    <w:rsid w:val="004E5FCD"/>
    <w:rsid w:val="004E60F1"/>
    <w:rsid w:val="004F1DC1"/>
    <w:rsid w:val="004F4824"/>
    <w:rsid w:val="004F5AE2"/>
    <w:rsid w:val="00504420"/>
    <w:rsid w:val="00505F4F"/>
    <w:rsid w:val="0050698C"/>
    <w:rsid w:val="005150EC"/>
    <w:rsid w:val="005166FC"/>
    <w:rsid w:val="0052194B"/>
    <w:rsid w:val="0052196D"/>
    <w:rsid w:val="00521DDF"/>
    <w:rsid w:val="00523644"/>
    <w:rsid w:val="005252CD"/>
    <w:rsid w:val="00530658"/>
    <w:rsid w:val="005335C6"/>
    <w:rsid w:val="00540E3C"/>
    <w:rsid w:val="005505C8"/>
    <w:rsid w:val="00550EF3"/>
    <w:rsid w:val="005524DD"/>
    <w:rsid w:val="00552B9F"/>
    <w:rsid w:val="00555852"/>
    <w:rsid w:val="00560987"/>
    <w:rsid w:val="00562529"/>
    <w:rsid w:val="00562819"/>
    <w:rsid w:val="00563056"/>
    <w:rsid w:val="00566E4B"/>
    <w:rsid w:val="00567F97"/>
    <w:rsid w:val="00571EFA"/>
    <w:rsid w:val="005721DC"/>
    <w:rsid w:val="00576D19"/>
    <w:rsid w:val="005811EA"/>
    <w:rsid w:val="00582B6E"/>
    <w:rsid w:val="005833FF"/>
    <w:rsid w:val="00585F89"/>
    <w:rsid w:val="00586D61"/>
    <w:rsid w:val="00587668"/>
    <w:rsid w:val="005A7C4E"/>
    <w:rsid w:val="005B2997"/>
    <w:rsid w:val="005B2B92"/>
    <w:rsid w:val="005B3709"/>
    <w:rsid w:val="005B71BE"/>
    <w:rsid w:val="005C2AD7"/>
    <w:rsid w:val="005C40FA"/>
    <w:rsid w:val="005C455B"/>
    <w:rsid w:val="005C6919"/>
    <w:rsid w:val="005D6B76"/>
    <w:rsid w:val="005D71EB"/>
    <w:rsid w:val="005D78DE"/>
    <w:rsid w:val="005E7164"/>
    <w:rsid w:val="005F17F1"/>
    <w:rsid w:val="005F2772"/>
    <w:rsid w:val="005F33E3"/>
    <w:rsid w:val="005F35E7"/>
    <w:rsid w:val="005F6366"/>
    <w:rsid w:val="006018AC"/>
    <w:rsid w:val="00601F3F"/>
    <w:rsid w:val="006028D8"/>
    <w:rsid w:val="00602C8A"/>
    <w:rsid w:val="006034EC"/>
    <w:rsid w:val="006073A8"/>
    <w:rsid w:val="00611F5F"/>
    <w:rsid w:val="0061330A"/>
    <w:rsid w:val="00615742"/>
    <w:rsid w:val="00620171"/>
    <w:rsid w:val="00620890"/>
    <w:rsid w:val="00622897"/>
    <w:rsid w:val="00632163"/>
    <w:rsid w:val="006327C2"/>
    <w:rsid w:val="00635F9D"/>
    <w:rsid w:val="00636A32"/>
    <w:rsid w:val="00637241"/>
    <w:rsid w:val="00640FB3"/>
    <w:rsid w:val="00647587"/>
    <w:rsid w:val="00653825"/>
    <w:rsid w:val="006552AF"/>
    <w:rsid w:val="00661132"/>
    <w:rsid w:val="00664FD0"/>
    <w:rsid w:val="00666D09"/>
    <w:rsid w:val="00666F32"/>
    <w:rsid w:val="006677CC"/>
    <w:rsid w:val="00671709"/>
    <w:rsid w:val="00674C54"/>
    <w:rsid w:val="00675FCA"/>
    <w:rsid w:val="00676F6B"/>
    <w:rsid w:val="00677AC7"/>
    <w:rsid w:val="0068066A"/>
    <w:rsid w:val="00680BFE"/>
    <w:rsid w:val="00684D2F"/>
    <w:rsid w:val="00686C60"/>
    <w:rsid w:val="00686E6C"/>
    <w:rsid w:val="006930EE"/>
    <w:rsid w:val="00694228"/>
    <w:rsid w:val="00697EE4"/>
    <w:rsid w:val="006A1189"/>
    <w:rsid w:val="006A234B"/>
    <w:rsid w:val="006A2997"/>
    <w:rsid w:val="006B1946"/>
    <w:rsid w:val="006B3583"/>
    <w:rsid w:val="006B77C2"/>
    <w:rsid w:val="006B78B5"/>
    <w:rsid w:val="006B7F65"/>
    <w:rsid w:val="006C7FC3"/>
    <w:rsid w:val="006D371C"/>
    <w:rsid w:val="006D3737"/>
    <w:rsid w:val="006D3AD5"/>
    <w:rsid w:val="006D47D8"/>
    <w:rsid w:val="006E0506"/>
    <w:rsid w:val="006E27B0"/>
    <w:rsid w:val="006E7E80"/>
    <w:rsid w:val="006F032A"/>
    <w:rsid w:val="006F1689"/>
    <w:rsid w:val="006F35DD"/>
    <w:rsid w:val="006F39EE"/>
    <w:rsid w:val="006F6DFA"/>
    <w:rsid w:val="007046B8"/>
    <w:rsid w:val="00712D4E"/>
    <w:rsid w:val="00716839"/>
    <w:rsid w:val="00717427"/>
    <w:rsid w:val="0071759F"/>
    <w:rsid w:val="00720CBE"/>
    <w:rsid w:val="00724E80"/>
    <w:rsid w:val="007330B8"/>
    <w:rsid w:val="00736F10"/>
    <w:rsid w:val="007416B6"/>
    <w:rsid w:val="00750B0C"/>
    <w:rsid w:val="00757376"/>
    <w:rsid w:val="007577C6"/>
    <w:rsid w:val="00760D86"/>
    <w:rsid w:val="007630DE"/>
    <w:rsid w:val="0076446C"/>
    <w:rsid w:val="00765B72"/>
    <w:rsid w:val="007719E8"/>
    <w:rsid w:val="00772987"/>
    <w:rsid w:val="00773D17"/>
    <w:rsid w:val="00774751"/>
    <w:rsid w:val="00776B9F"/>
    <w:rsid w:val="0077FBE7"/>
    <w:rsid w:val="00783629"/>
    <w:rsid w:val="00784B81"/>
    <w:rsid w:val="00784CE8"/>
    <w:rsid w:val="00794839"/>
    <w:rsid w:val="007A346E"/>
    <w:rsid w:val="007A4A1C"/>
    <w:rsid w:val="007A4C23"/>
    <w:rsid w:val="007B07EA"/>
    <w:rsid w:val="007B30C6"/>
    <w:rsid w:val="007B57BC"/>
    <w:rsid w:val="007C2CF9"/>
    <w:rsid w:val="007C337D"/>
    <w:rsid w:val="007C77F6"/>
    <w:rsid w:val="007D180F"/>
    <w:rsid w:val="007D7E13"/>
    <w:rsid w:val="007E13E6"/>
    <w:rsid w:val="007E474C"/>
    <w:rsid w:val="007E4BBD"/>
    <w:rsid w:val="007E4EEC"/>
    <w:rsid w:val="007F08E3"/>
    <w:rsid w:val="007F5C71"/>
    <w:rsid w:val="007F660B"/>
    <w:rsid w:val="008000EC"/>
    <w:rsid w:val="00801EBE"/>
    <w:rsid w:val="00804515"/>
    <w:rsid w:val="00810731"/>
    <w:rsid w:val="00810E0F"/>
    <w:rsid w:val="00810EF9"/>
    <w:rsid w:val="00811E06"/>
    <w:rsid w:val="0081238A"/>
    <w:rsid w:val="00816AE9"/>
    <w:rsid w:val="00823B34"/>
    <w:rsid w:val="008240F2"/>
    <w:rsid w:val="0082489A"/>
    <w:rsid w:val="008262C4"/>
    <w:rsid w:val="00830D6D"/>
    <w:rsid w:val="00830FBD"/>
    <w:rsid w:val="00831FD5"/>
    <w:rsid w:val="00834CA4"/>
    <w:rsid w:val="008366B3"/>
    <w:rsid w:val="00840C12"/>
    <w:rsid w:val="00842ED5"/>
    <w:rsid w:val="008535D1"/>
    <w:rsid w:val="00853ABD"/>
    <w:rsid w:val="0085693C"/>
    <w:rsid w:val="008636A6"/>
    <w:rsid w:val="00863E71"/>
    <w:rsid w:val="0086535B"/>
    <w:rsid w:val="008669BD"/>
    <w:rsid w:val="008718C4"/>
    <w:rsid w:val="00871EB6"/>
    <w:rsid w:val="00871FB3"/>
    <w:rsid w:val="00880483"/>
    <w:rsid w:val="00886093"/>
    <w:rsid w:val="008919BC"/>
    <w:rsid w:val="00895923"/>
    <w:rsid w:val="00896E99"/>
    <w:rsid w:val="008A0723"/>
    <w:rsid w:val="008A65AC"/>
    <w:rsid w:val="008A75AD"/>
    <w:rsid w:val="008B120B"/>
    <w:rsid w:val="008B318E"/>
    <w:rsid w:val="008B5267"/>
    <w:rsid w:val="008B652A"/>
    <w:rsid w:val="008B6780"/>
    <w:rsid w:val="008B7C50"/>
    <w:rsid w:val="008C0F4F"/>
    <w:rsid w:val="008C3A5C"/>
    <w:rsid w:val="008D577D"/>
    <w:rsid w:val="008D5A98"/>
    <w:rsid w:val="008D651E"/>
    <w:rsid w:val="008D6BCF"/>
    <w:rsid w:val="008E4899"/>
    <w:rsid w:val="008E5D62"/>
    <w:rsid w:val="008F131D"/>
    <w:rsid w:val="009043A5"/>
    <w:rsid w:val="00906B8F"/>
    <w:rsid w:val="0091005A"/>
    <w:rsid w:val="0091066B"/>
    <w:rsid w:val="00913026"/>
    <w:rsid w:val="00920DB8"/>
    <w:rsid w:val="009276D6"/>
    <w:rsid w:val="0092778E"/>
    <w:rsid w:val="00930B72"/>
    <w:rsid w:val="00933CA8"/>
    <w:rsid w:val="00934255"/>
    <w:rsid w:val="00935ED9"/>
    <w:rsid w:val="00937490"/>
    <w:rsid w:val="009423B6"/>
    <w:rsid w:val="00952335"/>
    <w:rsid w:val="00956BB4"/>
    <w:rsid w:val="00957474"/>
    <w:rsid w:val="00957BB5"/>
    <w:rsid w:val="00960620"/>
    <w:rsid w:val="009619AA"/>
    <w:rsid w:val="009668DA"/>
    <w:rsid w:val="00973BB3"/>
    <w:rsid w:val="009743F2"/>
    <w:rsid w:val="0097447E"/>
    <w:rsid w:val="00974AEC"/>
    <w:rsid w:val="0098122A"/>
    <w:rsid w:val="00981AA0"/>
    <w:rsid w:val="00982697"/>
    <w:rsid w:val="00985774"/>
    <w:rsid w:val="0099017A"/>
    <w:rsid w:val="00993965"/>
    <w:rsid w:val="009964AB"/>
    <w:rsid w:val="00996BC5"/>
    <w:rsid w:val="009A4C0B"/>
    <w:rsid w:val="009A5EFE"/>
    <w:rsid w:val="009A6FF6"/>
    <w:rsid w:val="009B539E"/>
    <w:rsid w:val="009C52DE"/>
    <w:rsid w:val="009D2C97"/>
    <w:rsid w:val="009D2D15"/>
    <w:rsid w:val="009E1157"/>
    <w:rsid w:val="009E511E"/>
    <w:rsid w:val="009F7B0E"/>
    <w:rsid w:val="00A00EBC"/>
    <w:rsid w:val="00A01F33"/>
    <w:rsid w:val="00A04F41"/>
    <w:rsid w:val="00A05C4C"/>
    <w:rsid w:val="00A14743"/>
    <w:rsid w:val="00A17BC1"/>
    <w:rsid w:val="00A35588"/>
    <w:rsid w:val="00A37068"/>
    <w:rsid w:val="00A445E1"/>
    <w:rsid w:val="00A45B7C"/>
    <w:rsid w:val="00A46407"/>
    <w:rsid w:val="00A464DE"/>
    <w:rsid w:val="00A47F76"/>
    <w:rsid w:val="00A528DC"/>
    <w:rsid w:val="00A557B3"/>
    <w:rsid w:val="00A71F7F"/>
    <w:rsid w:val="00A73DC4"/>
    <w:rsid w:val="00A76CCE"/>
    <w:rsid w:val="00A7713F"/>
    <w:rsid w:val="00A77E0F"/>
    <w:rsid w:val="00A83E2D"/>
    <w:rsid w:val="00A83F47"/>
    <w:rsid w:val="00A84CEA"/>
    <w:rsid w:val="00A90934"/>
    <w:rsid w:val="00A90FD8"/>
    <w:rsid w:val="00A91586"/>
    <w:rsid w:val="00A92AD0"/>
    <w:rsid w:val="00A9378E"/>
    <w:rsid w:val="00A93819"/>
    <w:rsid w:val="00A96874"/>
    <w:rsid w:val="00A97233"/>
    <w:rsid w:val="00AA19C0"/>
    <w:rsid w:val="00AA555D"/>
    <w:rsid w:val="00AA629F"/>
    <w:rsid w:val="00AB0676"/>
    <w:rsid w:val="00AB1143"/>
    <w:rsid w:val="00AB1C11"/>
    <w:rsid w:val="00AB678C"/>
    <w:rsid w:val="00AB7659"/>
    <w:rsid w:val="00AC092C"/>
    <w:rsid w:val="00AC4A0F"/>
    <w:rsid w:val="00AC518F"/>
    <w:rsid w:val="00AC6FF3"/>
    <w:rsid w:val="00AD1C34"/>
    <w:rsid w:val="00AD7FF4"/>
    <w:rsid w:val="00AE140F"/>
    <w:rsid w:val="00AE2713"/>
    <w:rsid w:val="00AE6A54"/>
    <w:rsid w:val="00AF78CB"/>
    <w:rsid w:val="00B00721"/>
    <w:rsid w:val="00B03263"/>
    <w:rsid w:val="00B036CE"/>
    <w:rsid w:val="00B037BB"/>
    <w:rsid w:val="00B13226"/>
    <w:rsid w:val="00B26F76"/>
    <w:rsid w:val="00B27F8A"/>
    <w:rsid w:val="00B318CE"/>
    <w:rsid w:val="00B31A7F"/>
    <w:rsid w:val="00B36787"/>
    <w:rsid w:val="00B4051A"/>
    <w:rsid w:val="00B417B7"/>
    <w:rsid w:val="00B41ADF"/>
    <w:rsid w:val="00B4265D"/>
    <w:rsid w:val="00B43100"/>
    <w:rsid w:val="00B46ADB"/>
    <w:rsid w:val="00B476F9"/>
    <w:rsid w:val="00B47AF4"/>
    <w:rsid w:val="00B5597A"/>
    <w:rsid w:val="00B566FE"/>
    <w:rsid w:val="00B634DD"/>
    <w:rsid w:val="00B64EA2"/>
    <w:rsid w:val="00B65483"/>
    <w:rsid w:val="00B66B3F"/>
    <w:rsid w:val="00B67966"/>
    <w:rsid w:val="00B80581"/>
    <w:rsid w:val="00B819A7"/>
    <w:rsid w:val="00B85498"/>
    <w:rsid w:val="00B87DB8"/>
    <w:rsid w:val="00B94F6B"/>
    <w:rsid w:val="00BA2189"/>
    <w:rsid w:val="00BA2F83"/>
    <w:rsid w:val="00BA72B9"/>
    <w:rsid w:val="00BA75A3"/>
    <w:rsid w:val="00BB0D46"/>
    <w:rsid w:val="00BC24FC"/>
    <w:rsid w:val="00BC28FC"/>
    <w:rsid w:val="00BD7327"/>
    <w:rsid w:val="00BE22BD"/>
    <w:rsid w:val="00C15DA1"/>
    <w:rsid w:val="00C16E9A"/>
    <w:rsid w:val="00C21CC1"/>
    <w:rsid w:val="00C233F9"/>
    <w:rsid w:val="00C274C3"/>
    <w:rsid w:val="00C34715"/>
    <w:rsid w:val="00C349E2"/>
    <w:rsid w:val="00C35B06"/>
    <w:rsid w:val="00C400D7"/>
    <w:rsid w:val="00C44592"/>
    <w:rsid w:val="00C46141"/>
    <w:rsid w:val="00C47006"/>
    <w:rsid w:val="00C472FE"/>
    <w:rsid w:val="00C47C2C"/>
    <w:rsid w:val="00C47EB4"/>
    <w:rsid w:val="00C5260C"/>
    <w:rsid w:val="00C64455"/>
    <w:rsid w:val="00C70139"/>
    <w:rsid w:val="00C729E1"/>
    <w:rsid w:val="00C74C4C"/>
    <w:rsid w:val="00C86684"/>
    <w:rsid w:val="00C87376"/>
    <w:rsid w:val="00C9344B"/>
    <w:rsid w:val="00C93E4C"/>
    <w:rsid w:val="00C95F8C"/>
    <w:rsid w:val="00C978BC"/>
    <w:rsid w:val="00CA20D4"/>
    <w:rsid w:val="00CA3608"/>
    <w:rsid w:val="00CA3ED9"/>
    <w:rsid w:val="00CA782A"/>
    <w:rsid w:val="00CA7D92"/>
    <w:rsid w:val="00CB161E"/>
    <w:rsid w:val="00CB5CD0"/>
    <w:rsid w:val="00CC3EBC"/>
    <w:rsid w:val="00CC6A08"/>
    <w:rsid w:val="00CD03E0"/>
    <w:rsid w:val="00CD041A"/>
    <w:rsid w:val="00CD323D"/>
    <w:rsid w:val="00CD385E"/>
    <w:rsid w:val="00CD41B0"/>
    <w:rsid w:val="00CE737F"/>
    <w:rsid w:val="00CF0CBA"/>
    <w:rsid w:val="00CF0E59"/>
    <w:rsid w:val="00CF28AA"/>
    <w:rsid w:val="00CF4DC7"/>
    <w:rsid w:val="00CF6240"/>
    <w:rsid w:val="00CF7531"/>
    <w:rsid w:val="00D02401"/>
    <w:rsid w:val="00D030E0"/>
    <w:rsid w:val="00D04FCF"/>
    <w:rsid w:val="00D060F2"/>
    <w:rsid w:val="00D068EF"/>
    <w:rsid w:val="00D15E8A"/>
    <w:rsid w:val="00D16C50"/>
    <w:rsid w:val="00D2057D"/>
    <w:rsid w:val="00D20A79"/>
    <w:rsid w:val="00D21C84"/>
    <w:rsid w:val="00D32E3C"/>
    <w:rsid w:val="00D341E9"/>
    <w:rsid w:val="00D359D5"/>
    <w:rsid w:val="00D35FFB"/>
    <w:rsid w:val="00D36EF6"/>
    <w:rsid w:val="00D37BC4"/>
    <w:rsid w:val="00D52D92"/>
    <w:rsid w:val="00D53578"/>
    <w:rsid w:val="00D567AB"/>
    <w:rsid w:val="00D6215E"/>
    <w:rsid w:val="00D62D80"/>
    <w:rsid w:val="00D63738"/>
    <w:rsid w:val="00D67FB5"/>
    <w:rsid w:val="00D735E4"/>
    <w:rsid w:val="00D736D6"/>
    <w:rsid w:val="00D75AF0"/>
    <w:rsid w:val="00D75E02"/>
    <w:rsid w:val="00D777DC"/>
    <w:rsid w:val="00D778F8"/>
    <w:rsid w:val="00D77B56"/>
    <w:rsid w:val="00D848EC"/>
    <w:rsid w:val="00D9131A"/>
    <w:rsid w:val="00D932AF"/>
    <w:rsid w:val="00D9499E"/>
    <w:rsid w:val="00D96843"/>
    <w:rsid w:val="00D96ADB"/>
    <w:rsid w:val="00DA0614"/>
    <w:rsid w:val="00DA41FB"/>
    <w:rsid w:val="00DA5BCD"/>
    <w:rsid w:val="00DA650A"/>
    <w:rsid w:val="00DB0DAC"/>
    <w:rsid w:val="00DB56FF"/>
    <w:rsid w:val="00DB7196"/>
    <w:rsid w:val="00DC202C"/>
    <w:rsid w:val="00DC4014"/>
    <w:rsid w:val="00DC7DC3"/>
    <w:rsid w:val="00DD5AAA"/>
    <w:rsid w:val="00DD63AD"/>
    <w:rsid w:val="00DE0146"/>
    <w:rsid w:val="00DE120B"/>
    <w:rsid w:val="00DE33A2"/>
    <w:rsid w:val="00DE4A6B"/>
    <w:rsid w:val="00DE771A"/>
    <w:rsid w:val="00DF32FB"/>
    <w:rsid w:val="00E01846"/>
    <w:rsid w:val="00E02CEB"/>
    <w:rsid w:val="00E034FF"/>
    <w:rsid w:val="00E04490"/>
    <w:rsid w:val="00E069F2"/>
    <w:rsid w:val="00E070F5"/>
    <w:rsid w:val="00E10573"/>
    <w:rsid w:val="00E107F1"/>
    <w:rsid w:val="00E111A3"/>
    <w:rsid w:val="00E15928"/>
    <w:rsid w:val="00E16F91"/>
    <w:rsid w:val="00E201FF"/>
    <w:rsid w:val="00E319B5"/>
    <w:rsid w:val="00E33F3E"/>
    <w:rsid w:val="00E35FA5"/>
    <w:rsid w:val="00E41629"/>
    <w:rsid w:val="00E44F82"/>
    <w:rsid w:val="00E47486"/>
    <w:rsid w:val="00E52914"/>
    <w:rsid w:val="00E535BD"/>
    <w:rsid w:val="00E53C64"/>
    <w:rsid w:val="00E54C40"/>
    <w:rsid w:val="00E60D2F"/>
    <w:rsid w:val="00E625B9"/>
    <w:rsid w:val="00E67AFB"/>
    <w:rsid w:val="00E77C80"/>
    <w:rsid w:val="00E80587"/>
    <w:rsid w:val="00E82436"/>
    <w:rsid w:val="00E82FA5"/>
    <w:rsid w:val="00E83549"/>
    <w:rsid w:val="00E83794"/>
    <w:rsid w:val="00E83A1C"/>
    <w:rsid w:val="00E84886"/>
    <w:rsid w:val="00E9153D"/>
    <w:rsid w:val="00E916AA"/>
    <w:rsid w:val="00E946F7"/>
    <w:rsid w:val="00EA3999"/>
    <w:rsid w:val="00EA6888"/>
    <w:rsid w:val="00EB09C9"/>
    <w:rsid w:val="00EB1FC9"/>
    <w:rsid w:val="00EB6A3B"/>
    <w:rsid w:val="00EB76D3"/>
    <w:rsid w:val="00EC1F66"/>
    <w:rsid w:val="00EC7CE4"/>
    <w:rsid w:val="00ED2A5E"/>
    <w:rsid w:val="00ED6729"/>
    <w:rsid w:val="00ED70D7"/>
    <w:rsid w:val="00EE2201"/>
    <w:rsid w:val="00EF43CC"/>
    <w:rsid w:val="00EF76D3"/>
    <w:rsid w:val="00F007CE"/>
    <w:rsid w:val="00F042E3"/>
    <w:rsid w:val="00F2149E"/>
    <w:rsid w:val="00F23974"/>
    <w:rsid w:val="00F2419A"/>
    <w:rsid w:val="00F249B2"/>
    <w:rsid w:val="00F26ACF"/>
    <w:rsid w:val="00F32C81"/>
    <w:rsid w:val="00F341D7"/>
    <w:rsid w:val="00F34273"/>
    <w:rsid w:val="00F372C9"/>
    <w:rsid w:val="00F43D9F"/>
    <w:rsid w:val="00F45B80"/>
    <w:rsid w:val="00F62A49"/>
    <w:rsid w:val="00F6488A"/>
    <w:rsid w:val="00F81BA3"/>
    <w:rsid w:val="00F909F1"/>
    <w:rsid w:val="00F9178E"/>
    <w:rsid w:val="00F91FB2"/>
    <w:rsid w:val="00F949C6"/>
    <w:rsid w:val="00F94BF1"/>
    <w:rsid w:val="00FB34AE"/>
    <w:rsid w:val="00FB3B36"/>
    <w:rsid w:val="00FB3FC3"/>
    <w:rsid w:val="00FB5197"/>
    <w:rsid w:val="00FC29B4"/>
    <w:rsid w:val="00FC5BCB"/>
    <w:rsid w:val="00FC7AFF"/>
    <w:rsid w:val="00FD0603"/>
    <w:rsid w:val="00FD39CF"/>
    <w:rsid w:val="00FE125D"/>
    <w:rsid w:val="00FE4697"/>
    <w:rsid w:val="00FE508A"/>
    <w:rsid w:val="00FF0CC4"/>
    <w:rsid w:val="00FF5307"/>
    <w:rsid w:val="094602A5"/>
    <w:rsid w:val="09F59BE4"/>
    <w:rsid w:val="0B409A0E"/>
    <w:rsid w:val="0C634BEA"/>
    <w:rsid w:val="0E34D0A1"/>
    <w:rsid w:val="0E5B6099"/>
    <w:rsid w:val="0EBE59D8"/>
    <w:rsid w:val="10B1EFC6"/>
    <w:rsid w:val="1262F70D"/>
    <w:rsid w:val="126CDCD1"/>
    <w:rsid w:val="1340542A"/>
    <w:rsid w:val="1585776A"/>
    <w:rsid w:val="1754ED62"/>
    <w:rsid w:val="1758D1F1"/>
    <w:rsid w:val="1B906B83"/>
    <w:rsid w:val="1F57DFEB"/>
    <w:rsid w:val="278C650C"/>
    <w:rsid w:val="2A058FD0"/>
    <w:rsid w:val="2AE672E9"/>
    <w:rsid w:val="2F8A5DD8"/>
    <w:rsid w:val="378D44E1"/>
    <w:rsid w:val="3C74E68A"/>
    <w:rsid w:val="417F828A"/>
    <w:rsid w:val="47C5DFAB"/>
    <w:rsid w:val="4ADEA456"/>
    <w:rsid w:val="4B680190"/>
    <w:rsid w:val="50119AD0"/>
    <w:rsid w:val="5704F65F"/>
    <w:rsid w:val="5AD32294"/>
    <w:rsid w:val="5D133596"/>
    <w:rsid w:val="5DB5E62F"/>
    <w:rsid w:val="64B7D88C"/>
    <w:rsid w:val="65718673"/>
    <w:rsid w:val="69816516"/>
    <w:rsid w:val="7420635F"/>
    <w:rsid w:val="74D5D546"/>
    <w:rsid w:val="7679D9C9"/>
    <w:rsid w:val="777169E7"/>
    <w:rsid w:val="7A7A42D2"/>
    <w:rsid w:val="7E7C84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F667DB"/>
  <w15:chartTrackingRefBased/>
  <w15:docId w15:val="{93D3E59E-27DA-435B-952C-1894AF419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9F2"/>
    <w:pPr>
      <w:jc w:val="both"/>
    </w:pPr>
    <w:rPr>
      <w:rFonts w:ascii="Times New Roman" w:hAnsi="Times New Roman"/>
      <w:sz w:val="24"/>
    </w:rPr>
  </w:style>
  <w:style w:type="paragraph" w:styleId="Heading1">
    <w:name w:val="heading 1"/>
    <w:basedOn w:val="Normal"/>
    <w:next w:val="Normal"/>
    <w:link w:val="Heading1Char"/>
    <w:uiPriority w:val="9"/>
    <w:qFormat/>
    <w:rsid w:val="009E511E"/>
    <w:pPr>
      <w:keepNext/>
      <w:keepLines/>
      <w:numPr>
        <w:numId w:val="1"/>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2194B"/>
    <w:pPr>
      <w:keepNext/>
      <w:keepLines/>
      <w:numPr>
        <w:ilvl w:val="1"/>
        <w:numId w:val="1"/>
      </w:numPr>
      <w:spacing w:before="40" w:after="0"/>
      <w:outlineLvl w:val="1"/>
    </w:pPr>
    <w:rPr>
      <w:rFonts w:asciiTheme="majorHAnsi" w:eastAsiaTheme="majorEastAsia" w:hAnsiTheme="majorHAnsi" w:cstheme="majorBidi"/>
      <w:color w:val="365F91" w:themeColor="accent1" w:themeShade="BF"/>
      <w:sz w:val="28"/>
      <w:szCs w:val="26"/>
    </w:rPr>
  </w:style>
  <w:style w:type="paragraph" w:styleId="Heading3">
    <w:name w:val="heading 3"/>
    <w:basedOn w:val="Normal"/>
    <w:next w:val="Normal"/>
    <w:link w:val="Heading3Char"/>
    <w:uiPriority w:val="9"/>
    <w:unhideWhenUsed/>
    <w:qFormat/>
    <w:rsid w:val="0052194B"/>
    <w:pPr>
      <w:keepNext/>
      <w:keepLines/>
      <w:numPr>
        <w:ilvl w:val="2"/>
        <w:numId w:val="1"/>
      </w:numPr>
      <w:spacing w:before="40" w:after="0"/>
      <w:outlineLvl w:val="2"/>
    </w:pPr>
    <w:rPr>
      <w:rFonts w:asciiTheme="majorHAnsi" w:eastAsiaTheme="majorEastAsia" w:hAnsiTheme="majorHAnsi" w:cstheme="majorBidi"/>
      <w:color w:val="243F60" w:themeColor="accent1" w:themeShade="7F"/>
      <w:sz w:val="26"/>
      <w:szCs w:val="24"/>
    </w:rPr>
  </w:style>
  <w:style w:type="paragraph" w:styleId="Heading4">
    <w:name w:val="heading 4"/>
    <w:basedOn w:val="Normal"/>
    <w:next w:val="Normal"/>
    <w:link w:val="Heading4Char"/>
    <w:uiPriority w:val="9"/>
    <w:semiHidden/>
    <w:unhideWhenUsed/>
    <w:qFormat/>
    <w:rsid w:val="00C472FE"/>
    <w:pPr>
      <w:keepNext/>
      <w:keepLines/>
      <w:numPr>
        <w:ilvl w:val="3"/>
        <w:numId w:val="1"/>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472FE"/>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472FE"/>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472FE"/>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472FE"/>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472FE"/>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68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F909F1"/>
    <w:pPr>
      <w:ind w:left="720"/>
      <w:contextualSpacing/>
    </w:pPr>
  </w:style>
  <w:style w:type="paragraph" w:styleId="Header">
    <w:name w:val="header"/>
    <w:basedOn w:val="Normal"/>
    <w:link w:val="HeaderChar"/>
    <w:uiPriority w:val="99"/>
    <w:unhideWhenUsed/>
    <w:rsid w:val="00FD06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0603"/>
  </w:style>
  <w:style w:type="paragraph" w:styleId="Footer">
    <w:name w:val="footer"/>
    <w:basedOn w:val="Normal"/>
    <w:link w:val="FooterChar"/>
    <w:uiPriority w:val="99"/>
    <w:unhideWhenUsed/>
    <w:rsid w:val="00FD06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0603"/>
  </w:style>
  <w:style w:type="paragraph" w:styleId="FootnoteText">
    <w:name w:val="footnote text"/>
    <w:aliases w:val="Char Char,Car"/>
    <w:basedOn w:val="Normal"/>
    <w:link w:val="FootnoteTextChar"/>
    <w:uiPriority w:val="99"/>
    <w:unhideWhenUsed/>
    <w:rsid w:val="00FD0603"/>
    <w:pPr>
      <w:spacing w:after="0" w:line="240" w:lineRule="auto"/>
    </w:pPr>
    <w:rPr>
      <w:sz w:val="20"/>
      <w:szCs w:val="20"/>
    </w:rPr>
  </w:style>
  <w:style w:type="character" w:customStyle="1" w:styleId="FootnoteTextChar">
    <w:name w:val="Footnote Text Char"/>
    <w:aliases w:val="Char Char Char,Car Char"/>
    <w:basedOn w:val="DefaultParagraphFont"/>
    <w:link w:val="FootnoteText"/>
    <w:uiPriority w:val="99"/>
    <w:rsid w:val="00FD0603"/>
    <w:rPr>
      <w:sz w:val="20"/>
      <w:szCs w:val="20"/>
    </w:rPr>
  </w:style>
  <w:style w:type="character" w:styleId="FootnoteReference">
    <w:name w:val="footnote reference"/>
    <w:aliases w:val="SUPERS,BVI fnr,RSC_WP (footnote reference),number,Footnote reference number,Footnote symbol,note TESI,-E Fußnotenzeichen,Footnote,Times 10 Point,Exposant 3 Point,Footnote number,Footnote Reference Number,vnv,Fußnotenzeichen,R,stylish"/>
    <w:basedOn w:val="DefaultParagraphFont"/>
    <w:link w:val="SUPERSCharCharCharCharCharCharCharChar"/>
    <w:uiPriority w:val="99"/>
    <w:unhideWhenUsed/>
    <w:qFormat/>
    <w:rsid w:val="00FD0603"/>
    <w:rPr>
      <w:vertAlign w:val="superscript"/>
    </w:rPr>
  </w:style>
  <w:style w:type="character" w:customStyle="1" w:styleId="Heading1Char">
    <w:name w:val="Heading 1 Char"/>
    <w:basedOn w:val="DefaultParagraphFont"/>
    <w:link w:val="Heading1"/>
    <w:uiPriority w:val="9"/>
    <w:rsid w:val="009E511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2194B"/>
    <w:rPr>
      <w:rFonts w:asciiTheme="majorHAnsi" w:eastAsiaTheme="majorEastAsia" w:hAnsiTheme="majorHAnsi" w:cstheme="majorBidi"/>
      <w:color w:val="365F91" w:themeColor="accent1" w:themeShade="BF"/>
      <w:sz w:val="28"/>
      <w:szCs w:val="26"/>
    </w:rPr>
  </w:style>
  <w:style w:type="character" w:customStyle="1" w:styleId="Heading3Char">
    <w:name w:val="Heading 3 Char"/>
    <w:basedOn w:val="DefaultParagraphFont"/>
    <w:link w:val="Heading3"/>
    <w:uiPriority w:val="9"/>
    <w:rsid w:val="0052194B"/>
    <w:rPr>
      <w:rFonts w:asciiTheme="majorHAnsi" w:eastAsiaTheme="majorEastAsia" w:hAnsiTheme="majorHAnsi" w:cstheme="majorBidi"/>
      <w:color w:val="243F60" w:themeColor="accent1" w:themeShade="7F"/>
      <w:sz w:val="26"/>
      <w:szCs w:val="24"/>
    </w:rPr>
  </w:style>
  <w:style w:type="character" w:styleId="CommentReference">
    <w:name w:val="annotation reference"/>
    <w:basedOn w:val="DefaultParagraphFont"/>
    <w:uiPriority w:val="99"/>
    <w:semiHidden/>
    <w:unhideWhenUsed/>
    <w:rsid w:val="00ED2A5E"/>
    <w:rPr>
      <w:sz w:val="16"/>
      <w:szCs w:val="16"/>
    </w:rPr>
  </w:style>
  <w:style w:type="paragraph" w:styleId="CommentText">
    <w:name w:val="annotation text"/>
    <w:basedOn w:val="Normal"/>
    <w:link w:val="CommentTextChar"/>
    <w:uiPriority w:val="99"/>
    <w:unhideWhenUsed/>
    <w:rsid w:val="00ED2A5E"/>
    <w:pPr>
      <w:spacing w:line="240" w:lineRule="auto"/>
    </w:pPr>
    <w:rPr>
      <w:sz w:val="20"/>
      <w:szCs w:val="20"/>
    </w:rPr>
  </w:style>
  <w:style w:type="character" w:customStyle="1" w:styleId="CommentTextChar">
    <w:name w:val="Comment Text Char"/>
    <w:basedOn w:val="DefaultParagraphFont"/>
    <w:link w:val="CommentText"/>
    <w:uiPriority w:val="99"/>
    <w:rsid w:val="00ED2A5E"/>
    <w:rPr>
      <w:sz w:val="20"/>
      <w:szCs w:val="20"/>
    </w:rPr>
  </w:style>
  <w:style w:type="paragraph" w:styleId="CommentSubject">
    <w:name w:val="annotation subject"/>
    <w:basedOn w:val="CommentText"/>
    <w:next w:val="CommentText"/>
    <w:link w:val="CommentSubjectChar"/>
    <w:uiPriority w:val="99"/>
    <w:semiHidden/>
    <w:unhideWhenUsed/>
    <w:rsid w:val="00ED2A5E"/>
    <w:rPr>
      <w:b/>
      <w:bCs/>
    </w:rPr>
  </w:style>
  <w:style w:type="character" w:customStyle="1" w:styleId="CommentSubjectChar">
    <w:name w:val="Comment Subject Char"/>
    <w:basedOn w:val="CommentTextChar"/>
    <w:link w:val="CommentSubject"/>
    <w:uiPriority w:val="99"/>
    <w:semiHidden/>
    <w:rsid w:val="00ED2A5E"/>
    <w:rPr>
      <w:b/>
      <w:bCs/>
      <w:sz w:val="20"/>
      <w:szCs w:val="20"/>
    </w:rPr>
  </w:style>
  <w:style w:type="paragraph" w:styleId="BalloonText">
    <w:name w:val="Balloon Text"/>
    <w:basedOn w:val="Normal"/>
    <w:link w:val="BalloonTextChar"/>
    <w:uiPriority w:val="99"/>
    <w:semiHidden/>
    <w:unhideWhenUsed/>
    <w:rsid w:val="00ED2A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2A5E"/>
    <w:rPr>
      <w:rFonts w:ascii="Segoe UI" w:hAnsi="Segoe UI" w:cs="Segoe UI"/>
      <w:sz w:val="18"/>
      <w:szCs w:val="18"/>
    </w:rPr>
  </w:style>
  <w:style w:type="paragraph" w:customStyle="1" w:styleId="SUPERSCharCharCharCharCharCharCharChar">
    <w:name w:val="SUPERS Char Char Char Char Char Char Char Char"/>
    <w:aliases w:val="SUPERS Tegn Char Char Char Char Char Char Char Char Char,Footnote Reference Number Tegn Char Char Char Char Char Char Char Char Char"/>
    <w:basedOn w:val="Normal"/>
    <w:link w:val="FootnoteReference"/>
    <w:uiPriority w:val="99"/>
    <w:rsid w:val="00F81BA3"/>
    <w:pPr>
      <w:spacing w:after="160" w:line="240" w:lineRule="exact"/>
    </w:pPr>
    <w:rPr>
      <w:vertAlign w:val="superscript"/>
    </w:rPr>
  </w:style>
  <w:style w:type="character" w:customStyle="1" w:styleId="ListParagraphChar">
    <w:name w:val="List Paragraph Char"/>
    <w:basedOn w:val="DefaultParagraphFont"/>
    <w:link w:val="ListParagraph"/>
    <w:uiPriority w:val="34"/>
    <w:rsid w:val="00C472FE"/>
  </w:style>
  <w:style w:type="character" w:customStyle="1" w:styleId="Heading4Char">
    <w:name w:val="Heading 4 Char"/>
    <w:basedOn w:val="DefaultParagraphFont"/>
    <w:link w:val="Heading4"/>
    <w:uiPriority w:val="9"/>
    <w:semiHidden/>
    <w:rsid w:val="00C472FE"/>
    <w:rPr>
      <w:rFonts w:asciiTheme="majorHAnsi" w:eastAsiaTheme="majorEastAsia" w:hAnsiTheme="majorHAnsi" w:cstheme="majorBidi"/>
      <w:i/>
      <w:iCs/>
      <w:color w:val="365F91" w:themeColor="accent1" w:themeShade="BF"/>
      <w:sz w:val="24"/>
    </w:rPr>
  </w:style>
  <w:style w:type="character" w:customStyle="1" w:styleId="Heading5Char">
    <w:name w:val="Heading 5 Char"/>
    <w:basedOn w:val="DefaultParagraphFont"/>
    <w:link w:val="Heading5"/>
    <w:uiPriority w:val="9"/>
    <w:semiHidden/>
    <w:rsid w:val="00C472FE"/>
    <w:rPr>
      <w:rFonts w:asciiTheme="majorHAnsi" w:eastAsiaTheme="majorEastAsia" w:hAnsiTheme="majorHAnsi" w:cstheme="majorBidi"/>
      <w:color w:val="365F91" w:themeColor="accent1" w:themeShade="BF"/>
      <w:sz w:val="24"/>
    </w:rPr>
  </w:style>
  <w:style w:type="character" w:customStyle="1" w:styleId="Heading6Char">
    <w:name w:val="Heading 6 Char"/>
    <w:basedOn w:val="DefaultParagraphFont"/>
    <w:link w:val="Heading6"/>
    <w:uiPriority w:val="9"/>
    <w:semiHidden/>
    <w:rsid w:val="00C472FE"/>
    <w:rPr>
      <w:rFonts w:asciiTheme="majorHAnsi" w:eastAsiaTheme="majorEastAsia" w:hAnsiTheme="majorHAnsi" w:cstheme="majorBidi"/>
      <w:color w:val="243F60" w:themeColor="accent1" w:themeShade="7F"/>
      <w:sz w:val="24"/>
    </w:rPr>
  </w:style>
  <w:style w:type="character" w:customStyle="1" w:styleId="Heading7Char">
    <w:name w:val="Heading 7 Char"/>
    <w:basedOn w:val="DefaultParagraphFont"/>
    <w:link w:val="Heading7"/>
    <w:uiPriority w:val="9"/>
    <w:semiHidden/>
    <w:rsid w:val="00C472FE"/>
    <w:rPr>
      <w:rFonts w:asciiTheme="majorHAnsi" w:eastAsiaTheme="majorEastAsia" w:hAnsiTheme="majorHAnsi" w:cstheme="majorBidi"/>
      <w:i/>
      <w:iCs/>
      <w:color w:val="243F60" w:themeColor="accent1" w:themeShade="7F"/>
      <w:sz w:val="24"/>
    </w:rPr>
  </w:style>
  <w:style w:type="character" w:customStyle="1" w:styleId="Heading8Char">
    <w:name w:val="Heading 8 Char"/>
    <w:basedOn w:val="DefaultParagraphFont"/>
    <w:link w:val="Heading8"/>
    <w:uiPriority w:val="9"/>
    <w:semiHidden/>
    <w:rsid w:val="00C472F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472FE"/>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1155C2"/>
    <w:rPr>
      <w:color w:val="0000FF" w:themeColor="hyperlink"/>
      <w:u w:val="single"/>
    </w:rPr>
  </w:style>
  <w:style w:type="character" w:styleId="FollowedHyperlink">
    <w:name w:val="FollowedHyperlink"/>
    <w:basedOn w:val="DefaultParagraphFont"/>
    <w:uiPriority w:val="99"/>
    <w:semiHidden/>
    <w:unhideWhenUsed/>
    <w:rsid w:val="006073A8"/>
    <w:rPr>
      <w:color w:val="800080" w:themeColor="followedHyperlink"/>
      <w:u w:val="single"/>
    </w:rPr>
  </w:style>
  <w:style w:type="paragraph" w:styleId="Revision">
    <w:name w:val="Revision"/>
    <w:hidden/>
    <w:uiPriority w:val="99"/>
    <w:semiHidden/>
    <w:rsid w:val="006B78B5"/>
    <w:pPr>
      <w:spacing w:after="0" w:line="240" w:lineRule="auto"/>
    </w:pPr>
  </w:style>
  <w:style w:type="paragraph" w:styleId="Subtitle">
    <w:name w:val="Subtitle"/>
    <w:basedOn w:val="Normal"/>
    <w:next w:val="Normal"/>
    <w:link w:val="SubtitleChar"/>
    <w:uiPriority w:val="11"/>
    <w:qFormat/>
    <w:rsid w:val="00B819A7"/>
    <w:pPr>
      <w:numPr>
        <w:ilvl w:val="1"/>
      </w:numPr>
      <w:spacing w:before="120" w:after="0"/>
    </w:pPr>
    <w:rPr>
      <w:rFonts w:eastAsiaTheme="minorEastAsia"/>
      <w:b/>
      <w:spacing w:val="15"/>
    </w:rPr>
  </w:style>
  <w:style w:type="character" w:customStyle="1" w:styleId="SubtitleChar">
    <w:name w:val="Subtitle Char"/>
    <w:basedOn w:val="DefaultParagraphFont"/>
    <w:link w:val="Subtitle"/>
    <w:uiPriority w:val="11"/>
    <w:rsid w:val="00B819A7"/>
    <w:rPr>
      <w:rFonts w:eastAsiaTheme="minorEastAsia"/>
      <w:b/>
      <w:spacing w:val="15"/>
    </w:rPr>
  </w:style>
  <w:style w:type="character" w:styleId="SubtleEmphasis">
    <w:name w:val="Subtle Emphasis"/>
    <w:basedOn w:val="DefaultParagraphFont"/>
    <w:uiPriority w:val="19"/>
    <w:qFormat/>
    <w:rsid w:val="00B819A7"/>
    <w:rPr>
      <w:i/>
      <w:iCs/>
      <w:color w:val="404040" w:themeColor="text1" w:themeTint="BF"/>
    </w:rPr>
  </w:style>
  <w:style w:type="paragraph" w:styleId="TOCHeading">
    <w:name w:val="TOC Heading"/>
    <w:basedOn w:val="Heading1"/>
    <w:next w:val="Normal"/>
    <w:uiPriority w:val="39"/>
    <w:unhideWhenUsed/>
    <w:qFormat/>
    <w:rsid w:val="00B819A7"/>
    <w:pPr>
      <w:numPr>
        <w:numId w:val="0"/>
      </w:numPr>
      <w:spacing w:line="259" w:lineRule="auto"/>
      <w:outlineLvl w:val="9"/>
    </w:pPr>
    <w:rPr>
      <w:lang w:val="en-US"/>
    </w:rPr>
  </w:style>
  <w:style w:type="paragraph" w:styleId="TOC1">
    <w:name w:val="toc 1"/>
    <w:basedOn w:val="Normal"/>
    <w:next w:val="Normal"/>
    <w:autoRedefine/>
    <w:uiPriority w:val="39"/>
    <w:unhideWhenUsed/>
    <w:rsid w:val="0040427A"/>
    <w:pPr>
      <w:tabs>
        <w:tab w:val="left" w:pos="440"/>
        <w:tab w:val="right" w:leader="dot" w:pos="9016"/>
      </w:tabs>
      <w:spacing w:after="100"/>
    </w:pPr>
    <w:rPr>
      <w:b/>
      <w:noProof/>
      <w:sz w:val="28"/>
      <w:szCs w:val="28"/>
    </w:rPr>
  </w:style>
  <w:style w:type="paragraph" w:styleId="TOC2">
    <w:name w:val="toc 2"/>
    <w:basedOn w:val="Normal"/>
    <w:next w:val="Normal"/>
    <w:autoRedefine/>
    <w:uiPriority w:val="39"/>
    <w:unhideWhenUsed/>
    <w:rsid w:val="00B819A7"/>
    <w:pPr>
      <w:spacing w:after="100"/>
      <w:ind w:left="240"/>
    </w:pPr>
  </w:style>
  <w:style w:type="paragraph" w:customStyle="1" w:styleId="LegalNumPar">
    <w:name w:val="LegalNumPar"/>
    <w:basedOn w:val="Normal"/>
    <w:rsid w:val="00B67966"/>
    <w:pPr>
      <w:numPr>
        <w:numId w:val="8"/>
      </w:numPr>
      <w:spacing w:line="360" w:lineRule="auto"/>
    </w:pPr>
  </w:style>
  <w:style w:type="paragraph" w:customStyle="1" w:styleId="LegalNumPar2">
    <w:name w:val="LegalNumPar2"/>
    <w:basedOn w:val="Normal"/>
    <w:rsid w:val="00B67966"/>
    <w:pPr>
      <w:numPr>
        <w:ilvl w:val="1"/>
        <w:numId w:val="8"/>
      </w:numPr>
      <w:spacing w:line="360" w:lineRule="auto"/>
    </w:pPr>
  </w:style>
  <w:style w:type="paragraph" w:customStyle="1" w:styleId="LegalNumPar3">
    <w:name w:val="LegalNumPar3"/>
    <w:basedOn w:val="Normal"/>
    <w:rsid w:val="00B67966"/>
    <w:pPr>
      <w:numPr>
        <w:ilvl w:val="2"/>
        <w:numId w:val="8"/>
      </w:numPr>
      <w:spacing w:line="360" w:lineRule="auto"/>
    </w:pPr>
  </w:style>
  <w:style w:type="paragraph" w:customStyle="1" w:styleId="Default">
    <w:name w:val="Default"/>
    <w:rsid w:val="003D6097"/>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392BD0"/>
    <w:pPr>
      <w:spacing w:before="100" w:beforeAutospacing="1" w:after="100" w:afterAutospacing="1" w:line="240" w:lineRule="auto"/>
    </w:pPr>
    <w:rPr>
      <w:rFonts w:eastAsiaTheme="minorEastAsia" w:cs="Times New Roman"/>
      <w:szCs w:val="24"/>
      <w:lang w:eastAsia="en-GB"/>
    </w:rPr>
  </w:style>
  <w:style w:type="paragraph" w:styleId="TOC3">
    <w:name w:val="toc 3"/>
    <w:basedOn w:val="Normal"/>
    <w:next w:val="Normal"/>
    <w:autoRedefine/>
    <w:uiPriority w:val="39"/>
    <w:unhideWhenUsed/>
    <w:rsid w:val="0040427A"/>
    <w:pPr>
      <w:spacing w:after="100"/>
      <w:ind w:left="480"/>
    </w:pPr>
  </w:style>
  <w:style w:type="paragraph" w:styleId="NoSpacing">
    <w:name w:val="No Spacing"/>
    <w:uiPriority w:val="1"/>
    <w:qFormat/>
    <w:rsid w:val="00D96ADB"/>
    <w:pPr>
      <w:spacing w:after="0" w:line="240" w:lineRule="auto"/>
      <w:jc w:val="both"/>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6911">
      <w:bodyDiv w:val="1"/>
      <w:marLeft w:val="0"/>
      <w:marRight w:val="0"/>
      <w:marTop w:val="0"/>
      <w:marBottom w:val="0"/>
      <w:divBdr>
        <w:top w:val="none" w:sz="0" w:space="0" w:color="auto"/>
        <w:left w:val="none" w:sz="0" w:space="0" w:color="auto"/>
        <w:bottom w:val="none" w:sz="0" w:space="0" w:color="auto"/>
        <w:right w:val="none" w:sz="0" w:space="0" w:color="auto"/>
      </w:divBdr>
    </w:div>
    <w:div w:id="434788303">
      <w:bodyDiv w:val="1"/>
      <w:marLeft w:val="0"/>
      <w:marRight w:val="0"/>
      <w:marTop w:val="0"/>
      <w:marBottom w:val="0"/>
      <w:divBdr>
        <w:top w:val="none" w:sz="0" w:space="0" w:color="auto"/>
        <w:left w:val="none" w:sz="0" w:space="0" w:color="auto"/>
        <w:bottom w:val="none" w:sz="0" w:space="0" w:color="auto"/>
        <w:right w:val="none" w:sz="0" w:space="0" w:color="auto"/>
      </w:divBdr>
    </w:div>
    <w:div w:id="611018893">
      <w:bodyDiv w:val="1"/>
      <w:marLeft w:val="0"/>
      <w:marRight w:val="0"/>
      <w:marTop w:val="0"/>
      <w:marBottom w:val="0"/>
      <w:divBdr>
        <w:top w:val="none" w:sz="0" w:space="0" w:color="auto"/>
        <w:left w:val="none" w:sz="0" w:space="0" w:color="auto"/>
        <w:bottom w:val="none" w:sz="0" w:space="0" w:color="auto"/>
        <w:right w:val="none" w:sz="0" w:space="0" w:color="auto"/>
      </w:divBdr>
    </w:div>
    <w:div w:id="643698346">
      <w:bodyDiv w:val="1"/>
      <w:marLeft w:val="0"/>
      <w:marRight w:val="0"/>
      <w:marTop w:val="0"/>
      <w:marBottom w:val="0"/>
      <w:divBdr>
        <w:top w:val="none" w:sz="0" w:space="0" w:color="auto"/>
        <w:left w:val="none" w:sz="0" w:space="0" w:color="auto"/>
        <w:bottom w:val="none" w:sz="0" w:space="0" w:color="auto"/>
        <w:right w:val="none" w:sz="0" w:space="0" w:color="auto"/>
      </w:divBdr>
    </w:div>
    <w:div w:id="729691778">
      <w:bodyDiv w:val="1"/>
      <w:marLeft w:val="0"/>
      <w:marRight w:val="0"/>
      <w:marTop w:val="0"/>
      <w:marBottom w:val="0"/>
      <w:divBdr>
        <w:top w:val="none" w:sz="0" w:space="0" w:color="auto"/>
        <w:left w:val="none" w:sz="0" w:space="0" w:color="auto"/>
        <w:bottom w:val="none" w:sz="0" w:space="0" w:color="auto"/>
        <w:right w:val="none" w:sz="0" w:space="0" w:color="auto"/>
      </w:divBdr>
    </w:div>
    <w:div w:id="768427458">
      <w:bodyDiv w:val="1"/>
      <w:marLeft w:val="0"/>
      <w:marRight w:val="0"/>
      <w:marTop w:val="0"/>
      <w:marBottom w:val="0"/>
      <w:divBdr>
        <w:top w:val="none" w:sz="0" w:space="0" w:color="auto"/>
        <w:left w:val="none" w:sz="0" w:space="0" w:color="auto"/>
        <w:bottom w:val="none" w:sz="0" w:space="0" w:color="auto"/>
        <w:right w:val="none" w:sz="0" w:space="0" w:color="auto"/>
      </w:divBdr>
    </w:div>
    <w:div w:id="1355494104">
      <w:bodyDiv w:val="1"/>
      <w:marLeft w:val="0"/>
      <w:marRight w:val="0"/>
      <w:marTop w:val="0"/>
      <w:marBottom w:val="0"/>
      <w:divBdr>
        <w:top w:val="none" w:sz="0" w:space="0" w:color="auto"/>
        <w:left w:val="none" w:sz="0" w:space="0" w:color="auto"/>
        <w:bottom w:val="none" w:sz="0" w:space="0" w:color="auto"/>
        <w:right w:val="none" w:sz="0" w:space="0" w:color="auto"/>
      </w:divBdr>
    </w:div>
    <w:div w:id="1494032985">
      <w:bodyDiv w:val="1"/>
      <w:marLeft w:val="0"/>
      <w:marRight w:val="0"/>
      <w:marTop w:val="0"/>
      <w:marBottom w:val="0"/>
      <w:divBdr>
        <w:top w:val="none" w:sz="0" w:space="0" w:color="auto"/>
        <w:left w:val="none" w:sz="0" w:space="0" w:color="auto"/>
        <w:bottom w:val="none" w:sz="0" w:space="0" w:color="auto"/>
        <w:right w:val="none" w:sz="0" w:space="0" w:color="auto"/>
      </w:divBdr>
    </w:div>
    <w:div w:id="199113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B0B8928D591D3342AA21DB0F77847991" ma:contentTypeVersion="0" ma:contentTypeDescription="Create a new document in this library." ma:contentTypeScope="" ma:versionID="4d4915a59cce3de5f451c17a856930e1">
  <xsd:schema xmlns:xsd="http://www.w3.org/2001/XMLSchema" xmlns:xs="http://www.w3.org/2001/XMLSchema" xmlns:p="http://schemas.microsoft.com/office/2006/metadata/properties" xmlns:ns2="http://schemas.microsoft.com/sharepoint/v3/fields" xmlns:ns3="5fa405c7-a43f-4c9c-9f5e-0b1316d1a4fa" targetNamespace="http://schemas.microsoft.com/office/2006/metadata/properties" ma:root="true" ma:fieldsID="aa1c0b034828dce037a134cb2f800631" ns2:_="" ns3:_="">
    <xsd:import namespace="http://schemas.microsoft.com/sharepoint/v3/fields"/>
    <xsd:import namespace="5fa405c7-a43f-4c9c-9f5e-0b1316d1a4fa"/>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5fa405c7-a43f-4c9c-9f5e-0b1316d1a4fa"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EC_Collab_DocumentLanguage xmlns="5fa405c7-a43f-4c9c-9f5e-0b1316d1a4fa">EN</EC_Collab_DocumentLanguage>
    <EC_Collab_Status xmlns="5fa405c7-a43f-4c9c-9f5e-0b1316d1a4fa">Not Started</EC_Collab_Status>
    <EC_Collab_Reference xmlns="5fa405c7-a43f-4c9c-9f5e-0b1316d1a4f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981668E3-3C9B-4D59-BFF6-0C9EFD792A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5fa405c7-a43f-4c9c-9f5e-0b1316d1a4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B86967-5503-496D-9E00-F18A1CF74994}">
  <ds:schemaRefs>
    <ds:schemaRef ds:uri="5fa405c7-a43f-4c9c-9f5e-0b1316d1a4f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fields"/>
    <ds:schemaRef ds:uri="http://www.w3.org/XML/1998/namespace"/>
    <ds:schemaRef ds:uri="http://purl.org/dc/dcmitype/"/>
  </ds:schemaRefs>
</ds:datastoreItem>
</file>

<file path=customXml/itemProps3.xml><?xml version="1.0" encoding="utf-8"?>
<ds:datastoreItem xmlns:ds="http://schemas.openxmlformats.org/officeDocument/2006/customXml" ds:itemID="{876885EC-C4EB-4495-813F-FA820314D08C}">
  <ds:schemaRefs>
    <ds:schemaRef ds:uri="http://schemas.microsoft.com/sharepoint/v3/contenttype/forms"/>
  </ds:schemaRefs>
</ds:datastoreItem>
</file>

<file path=customXml/itemProps4.xml><?xml version="1.0" encoding="utf-8"?>
<ds:datastoreItem xmlns:ds="http://schemas.openxmlformats.org/officeDocument/2006/customXml" ds:itemID="{145FFAAF-1CFD-4557-8C85-5AE538BDD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3855</Words>
  <Characters>22865</Characters>
  <Application>Microsoft Office Word</Application>
  <DocSecurity>0</DocSecurity>
  <Lines>692</Lines>
  <Paragraphs>318</Paragraphs>
  <ScaleCrop>false</ScaleCrop>
  <HeadingPairs>
    <vt:vector size="2" baseType="variant">
      <vt:variant>
        <vt:lpstr>Title</vt:lpstr>
      </vt:variant>
      <vt:variant>
        <vt:i4>1</vt:i4>
      </vt:variant>
    </vt:vector>
  </HeadingPairs>
  <TitlesOfParts>
    <vt:vector size="1" baseType="lpstr">
      <vt:lpstr>SIW General Debt_for comments by 14102019</vt:lpstr>
    </vt:vector>
  </TitlesOfParts>
  <Company>European Commission</Company>
  <LinksUpToDate>false</LinksUpToDate>
  <CharactersWithSpaces>26402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 General Debt_for comments by 14102019</dc:title>
  <dc:subject/>
  <dc:creator>BEN SOUSSAN Samuel (MOVE)</dc:creator>
  <cp:keywords/>
  <dc:description/>
  <cp:lastModifiedBy>CASTELLANO Letizia (ECFIN-EXT)</cp:lastModifiedBy>
  <cp:revision>3</cp:revision>
  <cp:lastPrinted>2019-11-15T17:57:00Z</cp:lastPrinted>
  <dcterms:created xsi:type="dcterms:W3CDTF">2019-11-18T14:04:00Z</dcterms:created>
  <dcterms:modified xsi:type="dcterms:W3CDTF">2019-11-18T14:09:00Z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0x010100258AA79CEB83498886A3A0868112325000B0B8928D591D3342AA21DB0F77847991</vt:lpwstr>
  </property>
</Properties>
</file>