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C4" w:rsidRPr="00245F82" w:rsidRDefault="002273C4" w:rsidP="00205EC9">
      <w:pPr>
        <w:spacing w:before="120"/>
        <w:jc w:val="both"/>
        <w:rPr>
          <w:i/>
          <w:lang w:val="en-GB"/>
        </w:rPr>
      </w:pPr>
      <w:r w:rsidRPr="00245F82">
        <w:rPr>
          <w:i/>
          <w:lang w:val="en-GB"/>
        </w:rPr>
        <w:t xml:space="preserve">This non-paper is Poland’s contribution to the </w:t>
      </w:r>
      <w:r w:rsidR="00E50038" w:rsidRPr="00245F82">
        <w:rPr>
          <w:i/>
          <w:lang w:val="en-GB"/>
        </w:rPr>
        <w:t xml:space="preserve">current </w:t>
      </w:r>
      <w:r w:rsidR="0036418F" w:rsidRPr="00245F82">
        <w:rPr>
          <w:i/>
          <w:lang w:val="en-GB"/>
        </w:rPr>
        <w:t>intensive</w:t>
      </w:r>
      <w:r w:rsidRPr="00245F82">
        <w:rPr>
          <w:i/>
          <w:lang w:val="en-GB"/>
        </w:rPr>
        <w:t xml:space="preserve"> discussion on how to revive </w:t>
      </w:r>
      <w:r w:rsidR="00186CBF" w:rsidRPr="00245F82">
        <w:rPr>
          <w:i/>
          <w:lang w:val="en-GB"/>
        </w:rPr>
        <w:t xml:space="preserve">investment, </w:t>
      </w:r>
      <w:r w:rsidRPr="00245F82">
        <w:rPr>
          <w:i/>
          <w:lang w:val="en-GB"/>
        </w:rPr>
        <w:t>growth</w:t>
      </w:r>
      <w:r w:rsidR="00186CBF" w:rsidRPr="00245F82">
        <w:rPr>
          <w:i/>
          <w:lang w:val="en-GB"/>
        </w:rPr>
        <w:t xml:space="preserve"> and jobs</w:t>
      </w:r>
      <w:r w:rsidR="0036418F" w:rsidRPr="00245F82">
        <w:rPr>
          <w:i/>
          <w:lang w:val="en-GB"/>
        </w:rPr>
        <w:t xml:space="preserve"> in Europe</w:t>
      </w:r>
      <w:r w:rsidRPr="00245F82">
        <w:rPr>
          <w:i/>
          <w:lang w:val="en-GB"/>
        </w:rPr>
        <w:t xml:space="preserve">. </w:t>
      </w:r>
      <w:r w:rsidR="00186CBF" w:rsidRPr="00245F82">
        <w:rPr>
          <w:i/>
          <w:lang w:val="en-GB"/>
        </w:rPr>
        <w:t>It outlines in more detail the proposal presented and discussed by the Ministers during September</w:t>
      </w:r>
      <w:r w:rsidR="00547AE2">
        <w:rPr>
          <w:i/>
          <w:lang w:val="en-GB"/>
        </w:rPr>
        <w:t>’s</w:t>
      </w:r>
      <w:r w:rsidR="00186CBF" w:rsidRPr="00245F82">
        <w:rPr>
          <w:i/>
          <w:lang w:val="en-GB"/>
        </w:rPr>
        <w:t xml:space="preserve"> informal ECOFIN Council in Milan</w:t>
      </w:r>
      <w:r w:rsidR="00E06078" w:rsidRPr="00245F82">
        <w:rPr>
          <w:i/>
          <w:lang w:val="en-GB"/>
        </w:rPr>
        <w:t xml:space="preserve">. </w:t>
      </w:r>
      <w:r w:rsidRPr="00245F82">
        <w:rPr>
          <w:i/>
          <w:lang w:val="en-GB"/>
        </w:rPr>
        <w:t xml:space="preserve">It is </w:t>
      </w:r>
      <w:r w:rsidR="00E06078" w:rsidRPr="00245F82">
        <w:rPr>
          <w:i/>
          <w:lang w:val="en-GB"/>
        </w:rPr>
        <w:t xml:space="preserve">also </w:t>
      </w:r>
      <w:r w:rsidR="00547AE2">
        <w:rPr>
          <w:i/>
          <w:lang w:val="en-GB"/>
        </w:rPr>
        <w:t>a contribution</w:t>
      </w:r>
      <w:r w:rsidRPr="00245F82">
        <w:rPr>
          <w:i/>
          <w:lang w:val="en-GB"/>
        </w:rPr>
        <w:t xml:space="preserve"> to the proceedings of </w:t>
      </w:r>
      <w:r w:rsidR="00E06078" w:rsidRPr="00245F82">
        <w:rPr>
          <w:i/>
          <w:lang w:val="en-GB"/>
        </w:rPr>
        <w:t xml:space="preserve">the </w:t>
      </w:r>
      <w:r w:rsidR="0036418F" w:rsidRPr="00245F82">
        <w:rPr>
          <w:i/>
          <w:lang w:val="en-GB"/>
        </w:rPr>
        <w:t>“</w:t>
      </w:r>
      <w:r w:rsidRPr="00245F82">
        <w:rPr>
          <w:i/>
          <w:lang w:val="en-GB"/>
        </w:rPr>
        <w:t>Task Force on Developing Investment Project Pipeline in the EU</w:t>
      </w:r>
      <w:r w:rsidR="0036418F" w:rsidRPr="00245F82">
        <w:rPr>
          <w:i/>
          <w:lang w:val="en-GB"/>
        </w:rPr>
        <w:t>”</w:t>
      </w:r>
      <w:r w:rsidRPr="00245F82">
        <w:rPr>
          <w:i/>
          <w:lang w:val="en-GB"/>
        </w:rPr>
        <w:t xml:space="preserve"> under</w:t>
      </w:r>
      <w:r w:rsidR="00B711CC">
        <w:rPr>
          <w:i/>
          <w:lang w:val="en-GB"/>
        </w:rPr>
        <w:t xml:space="preserve"> the</w:t>
      </w:r>
      <w:r w:rsidRPr="00245F82">
        <w:rPr>
          <w:i/>
          <w:lang w:val="en-GB"/>
        </w:rPr>
        <w:t xml:space="preserve"> co-chairmanship of the European Commission and the European Investment Bank</w:t>
      </w:r>
      <w:r w:rsidR="00547AE2">
        <w:rPr>
          <w:i/>
          <w:lang w:val="en-GB"/>
        </w:rPr>
        <w:t>. The Task Force</w:t>
      </w:r>
      <w:r w:rsidR="00E06078" w:rsidRPr="00245F82">
        <w:rPr>
          <w:i/>
          <w:lang w:val="en-GB"/>
        </w:rPr>
        <w:t xml:space="preserve"> was established to lay the</w:t>
      </w:r>
      <w:r w:rsidR="0036418F" w:rsidRPr="00245F82">
        <w:rPr>
          <w:i/>
          <w:lang w:val="en-GB"/>
        </w:rPr>
        <w:t xml:space="preserve"> analytical foundations for</w:t>
      </w:r>
      <w:r w:rsidR="00C70A3E" w:rsidRPr="00245F82">
        <w:rPr>
          <w:i/>
          <w:lang w:val="en-GB"/>
        </w:rPr>
        <w:t xml:space="preserve"> concrete pro-</w:t>
      </w:r>
      <w:r w:rsidR="00E50038" w:rsidRPr="00245F82">
        <w:rPr>
          <w:i/>
          <w:lang w:val="en-GB"/>
        </w:rPr>
        <w:t>investment and pro-</w:t>
      </w:r>
      <w:r w:rsidR="00C70A3E" w:rsidRPr="00245F82">
        <w:rPr>
          <w:i/>
          <w:lang w:val="en-GB"/>
        </w:rPr>
        <w:t>growth strategies to be agreed</w:t>
      </w:r>
      <w:r w:rsidR="0036418F" w:rsidRPr="00245F82">
        <w:rPr>
          <w:i/>
          <w:lang w:val="en-GB"/>
        </w:rPr>
        <w:t xml:space="preserve"> </w:t>
      </w:r>
      <w:r w:rsidR="00E06078" w:rsidRPr="00245F82">
        <w:rPr>
          <w:i/>
          <w:lang w:val="en-GB"/>
        </w:rPr>
        <w:t>by ECOFIN Council in December</w:t>
      </w:r>
      <w:r w:rsidR="00186CBF" w:rsidRPr="00245F82">
        <w:rPr>
          <w:i/>
          <w:lang w:val="en-GB"/>
        </w:rPr>
        <w:t xml:space="preserve">.  </w:t>
      </w:r>
    </w:p>
    <w:p w:rsidR="001B52B4" w:rsidRPr="00924B3E" w:rsidRDefault="001B52B4" w:rsidP="00205EC9">
      <w:pPr>
        <w:spacing w:before="120"/>
        <w:jc w:val="both"/>
        <w:rPr>
          <w:rFonts w:asciiTheme="majorHAnsi" w:eastAsia="Times New Roman" w:hAnsiTheme="majorHAnsi" w:cstheme="minorHAnsi"/>
          <w:lang w:val="en-GB" w:eastAsia="en-GB"/>
        </w:rPr>
      </w:pPr>
    </w:p>
    <w:p w:rsidR="00325642" w:rsidRPr="00245F82" w:rsidRDefault="00325642" w:rsidP="00150C8A">
      <w:pPr>
        <w:spacing w:before="360"/>
        <w:jc w:val="both"/>
        <w:rPr>
          <w:rFonts w:asciiTheme="majorHAnsi" w:eastAsia="Times New Roman" w:hAnsiTheme="majorHAnsi" w:cstheme="minorHAnsi"/>
          <w:i/>
          <w:lang w:eastAsia="en-GB"/>
        </w:rPr>
      </w:pPr>
      <w:r w:rsidRPr="00245F82">
        <w:rPr>
          <w:rFonts w:asciiTheme="majorHAnsi" w:eastAsia="Times New Roman" w:hAnsiTheme="majorHAnsi" w:cstheme="minorHAnsi"/>
          <w:i/>
          <w:lang w:eastAsia="en-GB"/>
        </w:rPr>
        <w:t>Disappointing growth performance</w:t>
      </w:r>
    </w:p>
    <w:p w:rsidR="00EB0FEE" w:rsidRPr="00773854" w:rsidRDefault="0009184E" w:rsidP="00205EC9">
      <w:pPr>
        <w:spacing w:before="120"/>
        <w:jc w:val="both"/>
        <w:rPr>
          <w:rFonts w:asciiTheme="majorHAnsi" w:eastAsia="Times New Roman" w:hAnsiTheme="majorHAnsi" w:cstheme="minorHAnsi"/>
          <w:lang w:eastAsia="en-GB"/>
        </w:rPr>
      </w:pPr>
      <w:r w:rsidRPr="00773854">
        <w:rPr>
          <w:rFonts w:asciiTheme="majorHAnsi" w:eastAsia="Times New Roman" w:hAnsiTheme="majorHAnsi" w:cstheme="minorHAnsi"/>
          <w:lang w:eastAsia="en-GB"/>
        </w:rPr>
        <w:t>Six years since the start of the financial crisis</w:t>
      </w:r>
      <w:r w:rsidR="00A75F81">
        <w:rPr>
          <w:rFonts w:asciiTheme="majorHAnsi" w:eastAsia="Times New Roman" w:hAnsiTheme="majorHAnsi" w:cstheme="minorHAnsi"/>
          <w:lang w:eastAsia="en-GB"/>
        </w:rPr>
        <w:t>,</w:t>
      </w:r>
      <w:r w:rsidRPr="00773854">
        <w:rPr>
          <w:rFonts w:asciiTheme="majorHAnsi" w:eastAsia="Times New Roman" w:hAnsiTheme="majorHAnsi" w:cstheme="minorHAnsi"/>
          <w:lang w:eastAsia="en-GB"/>
        </w:rPr>
        <w:t xml:space="preserve"> European GDP is still well below its pre-crisis level and around 10% below the level consistent with trend growth prior to the crisis.</w:t>
      </w:r>
      <w:r w:rsidR="00EB0FEE" w:rsidRPr="00773854">
        <w:rPr>
          <w:rFonts w:asciiTheme="majorHAnsi" w:eastAsia="Times New Roman" w:hAnsiTheme="majorHAnsi" w:cstheme="minorHAnsi"/>
          <w:lang w:eastAsia="en-GB"/>
        </w:rPr>
        <w:t xml:space="preserve"> </w:t>
      </w:r>
      <w:r w:rsidRPr="00773854">
        <w:rPr>
          <w:rFonts w:asciiTheme="majorHAnsi" w:eastAsia="Times New Roman" w:hAnsiTheme="majorHAnsi" w:cstheme="minorHAnsi"/>
          <w:lang w:eastAsia="en-GB"/>
        </w:rPr>
        <w:t xml:space="preserve">Unemployment and the negative output gap are at record-high levels and Europe is on the verge of deflation. Moderate recovery, which gave Europe so much hope, has recently stalled. Without concerted and decisive actions at both national and European levels, Europe </w:t>
      </w:r>
      <w:r w:rsidR="00547AE2">
        <w:rPr>
          <w:rFonts w:asciiTheme="majorHAnsi" w:eastAsia="Times New Roman" w:hAnsiTheme="majorHAnsi" w:cstheme="minorHAnsi"/>
          <w:lang w:eastAsia="en-GB"/>
        </w:rPr>
        <w:t>faces the risk of secular stagnation</w:t>
      </w:r>
      <w:r w:rsidR="00B711CC">
        <w:rPr>
          <w:rFonts w:asciiTheme="majorHAnsi" w:eastAsia="Times New Roman" w:hAnsiTheme="majorHAnsi" w:cstheme="minorHAnsi"/>
          <w:lang w:eastAsia="en-GB"/>
        </w:rPr>
        <w:t xml:space="preserve"> in the form of</w:t>
      </w:r>
      <w:r w:rsidR="00547AE2">
        <w:rPr>
          <w:rFonts w:asciiTheme="majorHAnsi" w:eastAsia="Times New Roman" w:hAnsiTheme="majorHAnsi" w:cstheme="minorHAnsi"/>
          <w:lang w:eastAsia="en-GB"/>
        </w:rPr>
        <w:t xml:space="preserve"> </w:t>
      </w:r>
      <w:r w:rsidRPr="00773854">
        <w:rPr>
          <w:rFonts w:asciiTheme="majorHAnsi" w:eastAsia="Times New Roman" w:hAnsiTheme="majorHAnsi" w:cstheme="minorHAnsi"/>
          <w:lang w:eastAsia="en-GB"/>
        </w:rPr>
        <w:t>permanently depressed demand and meagre long term growth rates.</w:t>
      </w:r>
      <w:r w:rsidR="003C6619" w:rsidRPr="00773854">
        <w:rPr>
          <w:rFonts w:asciiTheme="majorHAnsi" w:eastAsia="Times New Roman" w:hAnsiTheme="majorHAnsi" w:cstheme="minorHAnsi"/>
          <w:lang w:eastAsia="en-GB"/>
        </w:rPr>
        <w:t xml:space="preserve"> </w:t>
      </w:r>
      <w:r w:rsidR="00EB0FEE" w:rsidRPr="00773854">
        <w:rPr>
          <w:rFonts w:asciiTheme="majorHAnsi" w:eastAsia="Times New Roman" w:hAnsiTheme="majorHAnsi" w:cstheme="minorHAnsi"/>
          <w:lang w:eastAsia="en-GB"/>
        </w:rPr>
        <w:t xml:space="preserve">If the current slow growth continues, the EU economy will be </w:t>
      </w:r>
      <w:r w:rsidR="00B711CC">
        <w:rPr>
          <w:rFonts w:asciiTheme="majorHAnsi" w:eastAsia="Times New Roman" w:hAnsiTheme="majorHAnsi" w:cstheme="minorHAnsi"/>
          <w:lang w:eastAsia="en-GB"/>
        </w:rPr>
        <w:t xml:space="preserve">almost </w:t>
      </w:r>
      <w:r w:rsidR="00EB0FEE" w:rsidRPr="00773854">
        <w:rPr>
          <w:rFonts w:asciiTheme="majorHAnsi" w:eastAsia="Times New Roman" w:hAnsiTheme="majorHAnsi" w:cstheme="minorHAnsi"/>
          <w:lang w:eastAsia="en-GB"/>
        </w:rPr>
        <w:t>16% below its potential in 2019 (</w:t>
      </w:r>
      <w:r w:rsidR="007D4F5A">
        <w:rPr>
          <w:rFonts w:asciiTheme="majorHAnsi" w:eastAsia="Times New Roman" w:hAnsiTheme="majorHAnsi" w:cstheme="minorHAnsi"/>
          <w:lang w:eastAsia="en-GB"/>
        </w:rPr>
        <w:t>Figure 1</w:t>
      </w:r>
      <w:r w:rsidR="00EB0FEE" w:rsidRPr="00773854">
        <w:rPr>
          <w:rFonts w:asciiTheme="majorHAnsi" w:eastAsia="Times New Roman" w:hAnsiTheme="majorHAnsi" w:cstheme="minorHAnsi"/>
          <w:lang w:eastAsia="en-GB"/>
        </w:rPr>
        <w:t xml:space="preserve">). </w:t>
      </w:r>
    </w:p>
    <w:p w:rsidR="00EB0FEE" w:rsidRPr="00773854" w:rsidRDefault="007D4F5A" w:rsidP="00205EC9">
      <w:pPr>
        <w:pStyle w:val="Legenda"/>
        <w:spacing w:before="120" w:after="0"/>
        <w:jc w:val="both"/>
        <w:rPr>
          <w:rFonts w:asciiTheme="majorHAnsi" w:hAnsiTheme="majorHAnsi"/>
        </w:rPr>
      </w:pPr>
      <w:r>
        <w:rPr>
          <w:rFonts w:asciiTheme="majorHAnsi" w:hAnsiTheme="majorHAnsi"/>
          <w:sz w:val="24"/>
          <w:szCs w:val="24"/>
        </w:rPr>
        <w:t xml:space="preserve">Figure 1. </w:t>
      </w:r>
      <w:r w:rsidR="00EB0FEE" w:rsidRPr="00773854">
        <w:rPr>
          <w:rFonts w:asciiTheme="majorHAnsi" w:hAnsiTheme="majorHAnsi"/>
          <w:sz w:val="24"/>
          <w:szCs w:val="24"/>
        </w:rPr>
        <w:t>Losing ground after the crisis.</w:t>
      </w:r>
    </w:p>
    <w:p w:rsidR="00EB0FEE" w:rsidRPr="00773854" w:rsidRDefault="00EB0FEE" w:rsidP="00205EC9">
      <w:pPr>
        <w:pStyle w:val="Legenda"/>
        <w:spacing w:before="120" w:after="0"/>
        <w:jc w:val="center"/>
        <w:rPr>
          <w:rFonts w:asciiTheme="majorHAnsi" w:hAnsiTheme="majorHAnsi"/>
        </w:rPr>
      </w:pPr>
      <w:r w:rsidRPr="00773854">
        <w:rPr>
          <w:rFonts w:asciiTheme="majorHAnsi" w:hAnsiTheme="majorHAnsi"/>
          <w:b w:val="0"/>
          <w:noProof/>
          <w:sz w:val="24"/>
          <w:szCs w:val="24"/>
          <w:lang w:val="pl-PL" w:eastAsia="pl-PL"/>
        </w:rPr>
        <w:drawing>
          <wp:inline distT="0" distB="0" distL="0" distR="0" wp14:anchorId="68BED959" wp14:editId="7CA51640">
            <wp:extent cx="5162550" cy="3248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2550" cy="3248025"/>
                    </a:xfrm>
                    <a:prstGeom prst="rect">
                      <a:avLst/>
                    </a:prstGeom>
                    <a:noFill/>
                    <a:ln>
                      <a:noFill/>
                    </a:ln>
                  </pic:spPr>
                </pic:pic>
              </a:graphicData>
            </a:graphic>
          </wp:inline>
        </w:drawing>
      </w:r>
    </w:p>
    <w:p w:rsidR="00287041" w:rsidRPr="00287041" w:rsidRDefault="00EB3A5E" w:rsidP="00150C8A">
      <w:pPr>
        <w:spacing w:before="360"/>
        <w:jc w:val="both"/>
        <w:rPr>
          <w:rFonts w:asciiTheme="majorHAnsi" w:eastAsia="Times New Roman" w:hAnsiTheme="majorHAnsi" w:cstheme="minorHAnsi"/>
          <w:i/>
          <w:lang w:eastAsia="en-GB"/>
        </w:rPr>
      </w:pPr>
      <w:r>
        <w:rPr>
          <w:rFonts w:asciiTheme="majorHAnsi" w:eastAsia="Times New Roman" w:hAnsiTheme="majorHAnsi" w:cstheme="minorHAnsi"/>
          <w:i/>
          <w:lang w:eastAsia="en-GB"/>
        </w:rPr>
        <w:t xml:space="preserve">Europe needs prompt and concerted </w:t>
      </w:r>
      <w:r w:rsidR="00287041" w:rsidRPr="00287041">
        <w:rPr>
          <w:rFonts w:asciiTheme="majorHAnsi" w:eastAsia="Times New Roman" w:hAnsiTheme="majorHAnsi" w:cstheme="minorHAnsi"/>
          <w:i/>
          <w:lang w:eastAsia="en-GB"/>
        </w:rPr>
        <w:t xml:space="preserve">action </w:t>
      </w:r>
    </w:p>
    <w:p w:rsidR="00AD7A8A" w:rsidRPr="00924B3E" w:rsidRDefault="0009184E" w:rsidP="00205EC9">
      <w:pPr>
        <w:spacing w:before="120"/>
        <w:jc w:val="both"/>
        <w:rPr>
          <w:rFonts w:asciiTheme="majorHAnsi" w:eastAsia="Times New Roman" w:hAnsiTheme="majorHAnsi" w:cstheme="minorHAnsi"/>
          <w:i/>
          <w:lang w:val="en-GB" w:eastAsia="en-GB"/>
        </w:rPr>
      </w:pPr>
      <w:r w:rsidRPr="00773854">
        <w:rPr>
          <w:rFonts w:asciiTheme="majorHAnsi" w:eastAsia="Times New Roman" w:hAnsiTheme="majorHAnsi" w:cstheme="minorHAnsi"/>
          <w:lang w:eastAsia="en-GB"/>
        </w:rPr>
        <w:t xml:space="preserve">Europe’s road to recovery requires determination and </w:t>
      </w:r>
      <w:r w:rsidR="00A75F81">
        <w:rPr>
          <w:rFonts w:asciiTheme="majorHAnsi" w:eastAsia="Times New Roman" w:hAnsiTheme="majorHAnsi" w:cstheme="minorHAnsi"/>
          <w:lang w:eastAsia="en-GB"/>
        </w:rPr>
        <w:t xml:space="preserve">the </w:t>
      </w:r>
      <w:r w:rsidRPr="00773854">
        <w:rPr>
          <w:rFonts w:asciiTheme="majorHAnsi" w:eastAsia="Times New Roman" w:hAnsiTheme="majorHAnsi" w:cstheme="minorHAnsi"/>
          <w:lang w:eastAsia="en-GB"/>
        </w:rPr>
        <w:t xml:space="preserve">courage </w:t>
      </w:r>
      <w:r w:rsidR="00A75F81">
        <w:rPr>
          <w:rFonts w:asciiTheme="majorHAnsi" w:eastAsia="Times New Roman" w:hAnsiTheme="majorHAnsi" w:cstheme="minorHAnsi"/>
          <w:lang w:eastAsia="en-GB"/>
        </w:rPr>
        <w:t>to take</w:t>
      </w:r>
      <w:r w:rsidRPr="00773854">
        <w:rPr>
          <w:rFonts w:asciiTheme="majorHAnsi" w:eastAsia="Times New Roman" w:hAnsiTheme="majorHAnsi" w:cstheme="minorHAnsi"/>
          <w:lang w:eastAsia="en-GB"/>
        </w:rPr>
        <w:t xml:space="preserve"> difficult decisions.</w:t>
      </w:r>
      <w:r w:rsidR="00CA0F82" w:rsidRPr="00773854">
        <w:rPr>
          <w:rFonts w:asciiTheme="majorHAnsi" w:eastAsia="Times New Roman" w:hAnsiTheme="majorHAnsi" w:cstheme="minorHAnsi"/>
          <w:lang w:eastAsia="en-GB"/>
        </w:rPr>
        <w:t xml:space="preserve"> </w:t>
      </w:r>
      <w:r w:rsidR="00A75F81">
        <w:rPr>
          <w:rFonts w:asciiTheme="majorHAnsi" w:eastAsia="Times New Roman" w:hAnsiTheme="majorHAnsi" w:cstheme="minorHAnsi"/>
          <w:lang w:eastAsia="en-GB"/>
        </w:rPr>
        <w:t>The m</w:t>
      </w:r>
      <w:r w:rsidR="003F3C33" w:rsidRPr="00773854">
        <w:rPr>
          <w:rFonts w:asciiTheme="majorHAnsi" w:eastAsia="Times New Roman" w:hAnsiTheme="majorHAnsi" w:cstheme="minorHAnsi"/>
          <w:lang w:eastAsia="en-GB"/>
        </w:rPr>
        <w:t>onetary, fiscal and structural a</w:t>
      </w:r>
      <w:r w:rsidR="00CA0F82" w:rsidRPr="00773854">
        <w:rPr>
          <w:rFonts w:asciiTheme="majorHAnsi" w:eastAsia="Times New Roman" w:hAnsiTheme="majorHAnsi" w:cstheme="minorHAnsi"/>
          <w:lang w:eastAsia="en-GB"/>
        </w:rPr>
        <w:t xml:space="preserve">ctions </w:t>
      </w:r>
      <w:r w:rsidR="00A75F81">
        <w:rPr>
          <w:rFonts w:asciiTheme="majorHAnsi" w:eastAsia="Times New Roman" w:hAnsiTheme="majorHAnsi" w:cstheme="minorHAnsi"/>
          <w:lang w:eastAsia="en-GB"/>
        </w:rPr>
        <w:t>under</w:t>
      </w:r>
      <w:r w:rsidR="00CA0F82" w:rsidRPr="00773854">
        <w:rPr>
          <w:rFonts w:asciiTheme="majorHAnsi" w:eastAsia="Times New Roman" w:hAnsiTheme="majorHAnsi" w:cstheme="minorHAnsi"/>
          <w:lang w:eastAsia="en-GB"/>
        </w:rPr>
        <w:t xml:space="preserve">taken so far have been insufficient to address </w:t>
      </w:r>
      <w:r w:rsidR="00B711CC" w:rsidRPr="00773854">
        <w:rPr>
          <w:rFonts w:asciiTheme="majorHAnsi" w:eastAsia="Times New Roman" w:hAnsiTheme="majorHAnsi" w:cstheme="minorHAnsi"/>
          <w:lang w:eastAsia="en-GB"/>
        </w:rPr>
        <w:t>Europe</w:t>
      </w:r>
      <w:r w:rsidR="00B711CC">
        <w:rPr>
          <w:rFonts w:asciiTheme="majorHAnsi" w:eastAsia="Times New Roman" w:hAnsiTheme="majorHAnsi" w:cstheme="minorHAnsi"/>
          <w:lang w:eastAsia="en-GB"/>
        </w:rPr>
        <w:t>’s</w:t>
      </w:r>
      <w:r w:rsidR="00B711CC" w:rsidRPr="00773854">
        <w:rPr>
          <w:rFonts w:asciiTheme="majorHAnsi" w:eastAsia="Times New Roman" w:hAnsiTheme="majorHAnsi" w:cstheme="minorHAnsi"/>
          <w:lang w:eastAsia="en-GB"/>
        </w:rPr>
        <w:t xml:space="preserve"> </w:t>
      </w:r>
      <w:r w:rsidR="00CA0F82" w:rsidRPr="00773854">
        <w:rPr>
          <w:rFonts w:asciiTheme="majorHAnsi" w:eastAsia="Times New Roman" w:hAnsiTheme="majorHAnsi" w:cstheme="minorHAnsi"/>
          <w:lang w:eastAsia="en-GB"/>
        </w:rPr>
        <w:t>unfolding gloomy scenario</w:t>
      </w:r>
      <w:r w:rsidR="003F3C33" w:rsidRPr="00773854">
        <w:rPr>
          <w:rFonts w:asciiTheme="majorHAnsi" w:eastAsia="Times New Roman" w:hAnsiTheme="majorHAnsi" w:cstheme="minorHAnsi"/>
          <w:lang w:eastAsia="en-GB"/>
        </w:rPr>
        <w:t xml:space="preserve"> and to stimulate long term growth</w:t>
      </w:r>
      <w:r w:rsidR="00CA0F82" w:rsidRPr="00773854">
        <w:rPr>
          <w:rFonts w:asciiTheme="majorHAnsi" w:eastAsia="Times New Roman" w:hAnsiTheme="majorHAnsi" w:cstheme="minorHAnsi"/>
          <w:lang w:eastAsia="en-GB"/>
        </w:rPr>
        <w:t xml:space="preserve">. </w:t>
      </w:r>
      <w:r w:rsidR="00A75F81">
        <w:rPr>
          <w:rFonts w:asciiTheme="majorHAnsi" w:eastAsia="Times New Roman" w:hAnsiTheme="majorHAnsi" w:cstheme="minorHAnsi"/>
          <w:lang w:eastAsia="en-GB"/>
        </w:rPr>
        <w:t>Efficient and effective</w:t>
      </w:r>
      <w:r w:rsidR="00A75F81" w:rsidRPr="00773854">
        <w:rPr>
          <w:rFonts w:asciiTheme="majorHAnsi" w:eastAsia="Times New Roman" w:hAnsiTheme="majorHAnsi" w:cstheme="minorHAnsi"/>
          <w:lang w:eastAsia="en-GB"/>
        </w:rPr>
        <w:t xml:space="preserve"> national fiscal consolidation strategies within the </w:t>
      </w:r>
      <w:r w:rsidR="008210FE">
        <w:rPr>
          <w:rFonts w:asciiTheme="majorHAnsi" w:eastAsia="Times New Roman" w:hAnsiTheme="majorHAnsi" w:cstheme="minorHAnsi"/>
          <w:lang w:eastAsia="en-GB"/>
        </w:rPr>
        <w:lastRenderedPageBreak/>
        <w:t>parameters</w:t>
      </w:r>
      <w:r w:rsidR="00A75F81" w:rsidRPr="00773854">
        <w:rPr>
          <w:rFonts w:asciiTheme="majorHAnsi" w:eastAsia="Times New Roman" w:hAnsiTheme="majorHAnsi" w:cstheme="minorHAnsi"/>
          <w:lang w:eastAsia="en-GB"/>
        </w:rPr>
        <w:t xml:space="preserve"> of the Stability and Growth Pact (SGP)</w:t>
      </w:r>
      <w:r w:rsidR="00A75F81">
        <w:rPr>
          <w:rFonts w:asciiTheme="majorHAnsi" w:eastAsia="Times New Roman" w:hAnsiTheme="majorHAnsi" w:cstheme="minorHAnsi"/>
          <w:lang w:eastAsia="en-GB"/>
        </w:rPr>
        <w:t xml:space="preserve"> would</w:t>
      </w:r>
      <w:r w:rsidR="00A75F81" w:rsidRPr="00773854">
        <w:rPr>
          <w:rFonts w:asciiTheme="majorHAnsi" w:eastAsia="Times New Roman" w:hAnsiTheme="majorHAnsi" w:cstheme="minorHAnsi"/>
          <w:lang w:eastAsia="en-GB"/>
        </w:rPr>
        <w:t xml:space="preserve"> </w:t>
      </w:r>
      <w:r w:rsidR="007F15DE" w:rsidRPr="00773854">
        <w:rPr>
          <w:rFonts w:asciiTheme="majorHAnsi" w:eastAsia="Times New Roman" w:hAnsiTheme="majorHAnsi" w:cstheme="minorHAnsi"/>
          <w:lang w:eastAsia="en-GB"/>
        </w:rPr>
        <w:t xml:space="preserve">provide </w:t>
      </w:r>
      <w:r w:rsidR="00A75F81">
        <w:rPr>
          <w:rFonts w:asciiTheme="majorHAnsi" w:eastAsia="Times New Roman" w:hAnsiTheme="majorHAnsi" w:cstheme="minorHAnsi"/>
          <w:lang w:eastAsia="en-GB"/>
        </w:rPr>
        <w:t>greater</w:t>
      </w:r>
      <w:r w:rsidR="00A75F81" w:rsidRPr="00773854">
        <w:rPr>
          <w:rFonts w:asciiTheme="majorHAnsi" w:eastAsia="Times New Roman" w:hAnsiTheme="majorHAnsi" w:cstheme="minorHAnsi"/>
          <w:lang w:eastAsia="en-GB"/>
        </w:rPr>
        <w:t xml:space="preserve"> </w:t>
      </w:r>
      <w:r w:rsidR="007F15DE" w:rsidRPr="00773854">
        <w:rPr>
          <w:rFonts w:asciiTheme="majorHAnsi" w:eastAsia="Times New Roman" w:hAnsiTheme="majorHAnsi" w:cstheme="minorHAnsi"/>
          <w:lang w:eastAsia="en-GB"/>
        </w:rPr>
        <w:t>growth momentum</w:t>
      </w:r>
      <w:r w:rsidR="00A75F81">
        <w:rPr>
          <w:rFonts w:asciiTheme="majorHAnsi" w:eastAsia="Times New Roman" w:hAnsiTheme="majorHAnsi" w:cstheme="minorHAnsi"/>
          <w:lang w:eastAsia="en-GB"/>
        </w:rPr>
        <w:t xml:space="preserve"> and bolster trust in the</w:t>
      </w:r>
      <w:r w:rsidR="005435D3">
        <w:rPr>
          <w:rFonts w:asciiTheme="majorHAnsi" w:eastAsia="Times New Roman" w:hAnsiTheme="majorHAnsi" w:cstheme="minorHAnsi"/>
          <w:lang w:eastAsia="en-GB"/>
        </w:rPr>
        <w:t xml:space="preserve"> economic future of </w:t>
      </w:r>
      <w:r w:rsidR="00A75F81">
        <w:rPr>
          <w:rFonts w:asciiTheme="majorHAnsi" w:eastAsia="Times New Roman" w:hAnsiTheme="majorHAnsi" w:cstheme="minorHAnsi"/>
          <w:lang w:eastAsia="en-GB"/>
        </w:rPr>
        <w:t>Europe</w:t>
      </w:r>
      <w:r w:rsidR="007F15DE" w:rsidRPr="00773854">
        <w:rPr>
          <w:rFonts w:asciiTheme="majorHAnsi" w:eastAsia="Times New Roman" w:hAnsiTheme="majorHAnsi" w:cstheme="minorHAnsi"/>
          <w:lang w:eastAsia="en-GB"/>
        </w:rPr>
        <w:t>.</w:t>
      </w:r>
      <w:r w:rsidR="000225D7" w:rsidRPr="00773854">
        <w:rPr>
          <w:rFonts w:asciiTheme="majorHAnsi" w:eastAsia="Times New Roman" w:hAnsiTheme="majorHAnsi" w:cstheme="minorHAnsi"/>
          <w:lang w:eastAsia="en-GB"/>
        </w:rPr>
        <w:t xml:space="preserve"> </w:t>
      </w:r>
      <w:r w:rsidR="00A75F81">
        <w:rPr>
          <w:rFonts w:asciiTheme="majorHAnsi" w:eastAsia="Times New Roman" w:hAnsiTheme="majorHAnsi" w:cstheme="minorHAnsi"/>
          <w:lang w:eastAsia="en-GB"/>
        </w:rPr>
        <w:t>F</w:t>
      </w:r>
      <w:r w:rsidR="000225D7" w:rsidRPr="00773854">
        <w:rPr>
          <w:rFonts w:asciiTheme="majorHAnsi" w:eastAsia="Times New Roman" w:hAnsiTheme="majorHAnsi" w:cstheme="minorHAnsi"/>
          <w:lang w:eastAsia="en-GB"/>
        </w:rPr>
        <w:t>urther s</w:t>
      </w:r>
      <w:r w:rsidR="00CA0F82" w:rsidRPr="00773854">
        <w:rPr>
          <w:rFonts w:asciiTheme="majorHAnsi" w:eastAsia="Times New Roman" w:hAnsiTheme="majorHAnsi" w:cstheme="minorHAnsi"/>
          <w:lang w:eastAsia="en-GB"/>
        </w:rPr>
        <w:t>tructural reforms</w:t>
      </w:r>
      <w:r w:rsidR="00A75F81">
        <w:rPr>
          <w:rFonts w:asciiTheme="majorHAnsi" w:eastAsia="Times New Roman" w:hAnsiTheme="majorHAnsi" w:cstheme="minorHAnsi"/>
          <w:lang w:eastAsia="en-GB"/>
        </w:rPr>
        <w:t xml:space="preserve"> </w:t>
      </w:r>
      <w:r w:rsidR="00CA0F82" w:rsidRPr="00773854">
        <w:rPr>
          <w:rFonts w:asciiTheme="majorHAnsi" w:eastAsia="Times New Roman" w:hAnsiTheme="majorHAnsi" w:cstheme="minorHAnsi"/>
          <w:lang w:eastAsia="en-GB"/>
        </w:rPr>
        <w:t xml:space="preserve">are essential to promote flexibility and increase long-term growth. </w:t>
      </w:r>
      <w:r w:rsidR="00A75F81">
        <w:rPr>
          <w:rFonts w:asciiTheme="majorHAnsi" w:eastAsia="Times New Roman" w:hAnsiTheme="majorHAnsi" w:cstheme="minorHAnsi"/>
          <w:lang w:eastAsia="en-GB"/>
        </w:rPr>
        <w:t>Though indispensable, t</w:t>
      </w:r>
      <w:r w:rsidR="00A75F81" w:rsidRPr="00773854">
        <w:rPr>
          <w:rFonts w:asciiTheme="majorHAnsi" w:eastAsia="Times New Roman" w:hAnsiTheme="majorHAnsi" w:cstheme="minorHAnsi"/>
          <w:lang w:eastAsia="en-GB"/>
        </w:rPr>
        <w:t xml:space="preserve">hese </w:t>
      </w:r>
      <w:r w:rsidR="00826C65" w:rsidRPr="00773854">
        <w:rPr>
          <w:rFonts w:asciiTheme="majorHAnsi" w:eastAsia="Times New Roman" w:hAnsiTheme="majorHAnsi" w:cstheme="minorHAnsi"/>
          <w:lang w:eastAsia="en-GB"/>
        </w:rPr>
        <w:t xml:space="preserve">measures </w:t>
      </w:r>
      <w:r w:rsidR="000225D7" w:rsidRPr="00773854">
        <w:rPr>
          <w:rFonts w:asciiTheme="majorHAnsi" w:eastAsia="Times New Roman" w:hAnsiTheme="majorHAnsi" w:cstheme="minorHAnsi"/>
          <w:lang w:eastAsia="en-GB"/>
        </w:rPr>
        <w:t>will not be sufficient to overcome the fundamental problem holding back the European economy</w:t>
      </w:r>
      <w:r w:rsidR="00826C65">
        <w:rPr>
          <w:rFonts w:asciiTheme="majorHAnsi" w:eastAsia="Times New Roman" w:hAnsiTheme="majorHAnsi" w:cstheme="minorHAnsi"/>
          <w:lang w:eastAsia="en-GB"/>
        </w:rPr>
        <w:t xml:space="preserve"> -</w:t>
      </w:r>
      <w:r w:rsidR="000225D7" w:rsidRPr="00826C65">
        <w:rPr>
          <w:rFonts w:asciiTheme="majorHAnsi" w:eastAsia="Times New Roman" w:hAnsiTheme="majorHAnsi" w:cstheme="minorHAnsi"/>
          <w:lang w:eastAsia="en-GB"/>
        </w:rPr>
        <w:t xml:space="preserve"> </w:t>
      </w:r>
      <w:r w:rsidR="000225D7" w:rsidRPr="00FC6D81">
        <w:rPr>
          <w:rFonts w:asciiTheme="majorHAnsi" w:eastAsia="Times New Roman" w:hAnsiTheme="majorHAnsi" w:cstheme="minorHAnsi"/>
          <w:lang w:eastAsia="en-GB"/>
        </w:rPr>
        <w:t>depressed investment demand</w:t>
      </w:r>
      <w:r w:rsidR="000225D7" w:rsidRPr="00826C65">
        <w:rPr>
          <w:rFonts w:asciiTheme="majorHAnsi" w:eastAsia="Times New Roman" w:hAnsiTheme="majorHAnsi" w:cstheme="minorHAnsi"/>
          <w:lang w:eastAsia="en-GB"/>
        </w:rPr>
        <w:t>.</w:t>
      </w:r>
    </w:p>
    <w:p w:rsidR="00AB1742" w:rsidRPr="00EB3A5E" w:rsidRDefault="00AB1742" w:rsidP="00150C8A">
      <w:pPr>
        <w:spacing w:before="360"/>
        <w:jc w:val="both"/>
        <w:rPr>
          <w:rFonts w:asciiTheme="majorHAnsi" w:eastAsia="Times New Roman" w:hAnsiTheme="majorHAnsi" w:cstheme="minorHAnsi"/>
          <w:i/>
          <w:lang w:eastAsia="en-GB"/>
        </w:rPr>
      </w:pPr>
      <w:r w:rsidRPr="00EB3A5E">
        <w:rPr>
          <w:rFonts w:asciiTheme="majorHAnsi" w:eastAsia="Times New Roman" w:hAnsiTheme="majorHAnsi" w:cstheme="minorHAnsi"/>
          <w:i/>
          <w:lang w:eastAsia="en-GB"/>
        </w:rPr>
        <w:t xml:space="preserve">European public investment scheme </w:t>
      </w:r>
      <w:r>
        <w:rPr>
          <w:rFonts w:asciiTheme="majorHAnsi" w:eastAsia="Times New Roman" w:hAnsiTheme="majorHAnsi" w:cstheme="minorHAnsi"/>
          <w:i/>
          <w:lang w:eastAsia="en-GB"/>
        </w:rPr>
        <w:t xml:space="preserve">to mobilize </w:t>
      </w:r>
      <w:r w:rsidR="00A64F4F">
        <w:rPr>
          <w:rFonts w:asciiTheme="majorHAnsi" w:eastAsia="Times New Roman" w:hAnsiTheme="majorHAnsi" w:cstheme="minorHAnsi"/>
          <w:i/>
          <w:lang w:eastAsia="en-GB"/>
        </w:rPr>
        <w:t>private capital</w:t>
      </w:r>
      <w:r>
        <w:rPr>
          <w:rFonts w:asciiTheme="majorHAnsi" w:eastAsia="Times New Roman" w:hAnsiTheme="majorHAnsi" w:cstheme="minorHAnsi"/>
          <w:i/>
          <w:lang w:eastAsia="en-GB"/>
        </w:rPr>
        <w:t xml:space="preserve"> </w:t>
      </w:r>
    </w:p>
    <w:p w:rsidR="00325642" w:rsidRDefault="00FB6CDB" w:rsidP="00205EC9">
      <w:pPr>
        <w:spacing w:before="120"/>
        <w:jc w:val="both"/>
        <w:rPr>
          <w:rFonts w:asciiTheme="majorHAnsi" w:eastAsia="Times New Roman" w:hAnsiTheme="majorHAnsi" w:cstheme="minorHAnsi"/>
          <w:lang w:eastAsia="en-GB"/>
        </w:rPr>
      </w:pPr>
      <w:r w:rsidRPr="00773854">
        <w:rPr>
          <w:rFonts w:asciiTheme="majorHAnsi" w:eastAsia="Times New Roman" w:hAnsiTheme="majorHAnsi" w:cstheme="minorHAnsi"/>
          <w:lang w:eastAsia="en-GB"/>
        </w:rPr>
        <w:t xml:space="preserve">Currently, despite near-zero interest rates, the propensity of </w:t>
      </w:r>
      <w:r w:rsidR="00B711CC">
        <w:rPr>
          <w:rFonts w:asciiTheme="majorHAnsi" w:eastAsia="Times New Roman" w:hAnsiTheme="majorHAnsi" w:cstheme="minorHAnsi"/>
          <w:lang w:eastAsia="en-GB"/>
        </w:rPr>
        <w:t xml:space="preserve">the </w:t>
      </w:r>
      <w:r w:rsidRPr="00773854">
        <w:rPr>
          <w:rFonts w:asciiTheme="majorHAnsi" w:eastAsia="Times New Roman" w:hAnsiTheme="majorHAnsi" w:cstheme="minorHAnsi"/>
          <w:lang w:eastAsia="en-GB"/>
        </w:rPr>
        <w:t>private sector to invest is weak</w:t>
      </w:r>
      <w:r w:rsidR="00FC6D81">
        <w:rPr>
          <w:rFonts w:asciiTheme="majorHAnsi" w:eastAsia="Times New Roman" w:hAnsiTheme="majorHAnsi" w:cstheme="minorHAnsi"/>
          <w:lang w:eastAsia="en-GB"/>
        </w:rPr>
        <w:t>, p</w:t>
      </w:r>
      <w:r w:rsidRPr="00773854">
        <w:rPr>
          <w:rFonts w:asciiTheme="majorHAnsi" w:eastAsia="Times New Roman" w:hAnsiTheme="majorHAnsi" w:cstheme="minorHAnsi"/>
          <w:lang w:eastAsia="en-GB"/>
        </w:rPr>
        <w:t xml:space="preserve">articularly in areas </w:t>
      </w:r>
      <w:r w:rsidR="00224964">
        <w:rPr>
          <w:rFonts w:asciiTheme="majorHAnsi" w:eastAsia="Times New Roman" w:hAnsiTheme="majorHAnsi" w:cstheme="minorHAnsi"/>
          <w:lang w:eastAsia="en-GB"/>
        </w:rPr>
        <w:t>involving</w:t>
      </w:r>
      <w:r w:rsidR="00224964" w:rsidRPr="00773854">
        <w:rPr>
          <w:rFonts w:asciiTheme="majorHAnsi" w:eastAsia="Times New Roman" w:hAnsiTheme="majorHAnsi" w:cstheme="minorHAnsi"/>
          <w:lang w:eastAsia="en-GB"/>
        </w:rPr>
        <w:t xml:space="preserve"> </w:t>
      </w:r>
      <w:r w:rsidRPr="00773854">
        <w:rPr>
          <w:rFonts w:asciiTheme="majorHAnsi" w:eastAsia="Times New Roman" w:hAnsiTheme="majorHAnsi" w:cstheme="minorHAnsi"/>
          <w:lang w:eastAsia="en-GB"/>
        </w:rPr>
        <w:t>higher risk and long</w:t>
      </w:r>
      <w:r w:rsidR="00224964">
        <w:rPr>
          <w:rFonts w:asciiTheme="majorHAnsi" w:eastAsia="Times New Roman" w:hAnsiTheme="majorHAnsi" w:cstheme="minorHAnsi"/>
          <w:lang w:eastAsia="en-GB"/>
        </w:rPr>
        <w:t>er</w:t>
      </w:r>
      <w:r w:rsidRPr="00773854">
        <w:rPr>
          <w:rFonts w:asciiTheme="majorHAnsi" w:eastAsia="Times New Roman" w:hAnsiTheme="majorHAnsi" w:cstheme="minorHAnsi"/>
          <w:lang w:eastAsia="en-GB"/>
        </w:rPr>
        <w:t>-term rate</w:t>
      </w:r>
      <w:r w:rsidR="00224964">
        <w:rPr>
          <w:rFonts w:asciiTheme="majorHAnsi" w:eastAsia="Times New Roman" w:hAnsiTheme="majorHAnsi" w:cstheme="minorHAnsi"/>
          <w:lang w:eastAsia="en-GB"/>
        </w:rPr>
        <w:t>s</w:t>
      </w:r>
      <w:r w:rsidRPr="00773854">
        <w:rPr>
          <w:rFonts w:asciiTheme="majorHAnsi" w:eastAsia="Times New Roman" w:hAnsiTheme="majorHAnsi" w:cstheme="minorHAnsi"/>
          <w:lang w:eastAsia="en-GB"/>
        </w:rPr>
        <w:t xml:space="preserve"> of return.</w:t>
      </w:r>
      <w:r>
        <w:rPr>
          <w:rFonts w:asciiTheme="majorHAnsi" w:eastAsia="Times New Roman" w:hAnsiTheme="majorHAnsi" w:cstheme="minorHAnsi"/>
          <w:lang w:eastAsia="en-GB"/>
        </w:rPr>
        <w:t xml:space="preserve"> </w:t>
      </w:r>
      <w:r w:rsidR="00A64F4F">
        <w:rPr>
          <w:rFonts w:asciiTheme="majorHAnsi" w:eastAsia="Times New Roman" w:hAnsiTheme="majorHAnsi" w:cstheme="minorHAnsi"/>
          <w:lang w:eastAsia="en-GB"/>
        </w:rPr>
        <w:t>An ambitious structural reform agenda should strengthen this propensity, thought a</w:t>
      </w:r>
      <w:r>
        <w:rPr>
          <w:rFonts w:asciiTheme="majorHAnsi" w:eastAsia="Times New Roman" w:hAnsiTheme="majorHAnsi" w:cstheme="minorHAnsi"/>
          <w:lang w:eastAsia="en-GB"/>
        </w:rPr>
        <w:t xml:space="preserve">n </w:t>
      </w:r>
      <w:r w:rsidR="00A64F4F">
        <w:rPr>
          <w:rFonts w:asciiTheme="majorHAnsi" w:eastAsia="Times New Roman" w:hAnsiTheme="majorHAnsi" w:cstheme="minorHAnsi"/>
          <w:lang w:eastAsia="en-GB"/>
        </w:rPr>
        <w:t xml:space="preserve">additional </w:t>
      </w:r>
      <w:r w:rsidR="007D4F5A">
        <w:rPr>
          <w:rFonts w:asciiTheme="majorHAnsi" w:eastAsia="Times New Roman" w:hAnsiTheme="majorHAnsi" w:cstheme="minorHAnsi"/>
          <w:lang w:eastAsia="en-GB"/>
        </w:rPr>
        <w:t>investment impulse from the public sector is necessary</w:t>
      </w:r>
      <w:r>
        <w:rPr>
          <w:rFonts w:asciiTheme="majorHAnsi" w:eastAsia="Times New Roman" w:hAnsiTheme="majorHAnsi" w:cstheme="minorHAnsi"/>
          <w:lang w:eastAsia="en-GB"/>
        </w:rPr>
        <w:t xml:space="preserve">. </w:t>
      </w:r>
    </w:p>
    <w:p w:rsidR="003016D6" w:rsidRDefault="00224964" w:rsidP="00205EC9">
      <w:pPr>
        <w:spacing w:before="120"/>
        <w:jc w:val="both"/>
        <w:rPr>
          <w:rFonts w:asciiTheme="majorHAnsi" w:eastAsia="Times New Roman" w:hAnsiTheme="majorHAnsi" w:cstheme="minorHAnsi"/>
          <w:lang w:eastAsia="en-GB"/>
        </w:rPr>
      </w:pPr>
      <w:r>
        <w:rPr>
          <w:rFonts w:asciiTheme="majorHAnsi" w:eastAsia="Times New Roman" w:hAnsiTheme="majorHAnsi" w:cstheme="minorHAnsi"/>
          <w:lang w:eastAsia="en-GB"/>
        </w:rPr>
        <w:t xml:space="preserve">Such an impulse </w:t>
      </w:r>
      <w:r w:rsidR="005B3B3D">
        <w:rPr>
          <w:rFonts w:asciiTheme="majorHAnsi" w:eastAsia="Times New Roman" w:hAnsiTheme="majorHAnsi" w:cstheme="minorHAnsi"/>
          <w:lang w:eastAsia="en-GB"/>
        </w:rPr>
        <w:t>sh</w:t>
      </w:r>
      <w:r w:rsidR="006C3EC5" w:rsidRPr="00773854">
        <w:rPr>
          <w:rFonts w:asciiTheme="majorHAnsi" w:eastAsia="Times New Roman" w:hAnsiTheme="majorHAnsi" w:cstheme="minorHAnsi"/>
          <w:lang w:eastAsia="en-GB"/>
        </w:rPr>
        <w:t xml:space="preserve">ould take a form of </w:t>
      </w:r>
      <w:r w:rsidR="005B3B3D">
        <w:rPr>
          <w:rFonts w:asciiTheme="majorHAnsi" w:eastAsia="Times New Roman" w:hAnsiTheme="majorHAnsi" w:cstheme="minorHAnsi"/>
          <w:lang w:eastAsia="en-GB"/>
        </w:rPr>
        <w:t>a</w:t>
      </w:r>
      <w:r w:rsidR="00A64F4F">
        <w:rPr>
          <w:rFonts w:asciiTheme="majorHAnsi" w:eastAsia="Times New Roman" w:hAnsiTheme="majorHAnsi" w:cstheme="minorHAnsi"/>
          <w:lang w:eastAsia="en-GB"/>
        </w:rPr>
        <w:t>n</w:t>
      </w:r>
      <w:r w:rsidR="005B3B3D">
        <w:rPr>
          <w:rFonts w:asciiTheme="majorHAnsi" w:eastAsia="Times New Roman" w:hAnsiTheme="majorHAnsi" w:cstheme="minorHAnsi"/>
          <w:lang w:eastAsia="en-GB"/>
        </w:rPr>
        <w:t xml:space="preserve"> </w:t>
      </w:r>
      <w:r w:rsidR="00207256" w:rsidRPr="00773854">
        <w:rPr>
          <w:rFonts w:asciiTheme="majorHAnsi" w:eastAsia="Times New Roman" w:hAnsiTheme="majorHAnsi" w:cstheme="minorHAnsi"/>
          <w:lang w:eastAsia="en-GB"/>
        </w:rPr>
        <w:t xml:space="preserve">ambitious, pan-European </w:t>
      </w:r>
      <w:r w:rsidR="006C3EC5" w:rsidRPr="00773854">
        <w:rPr>
          <w:rFonts w:asciiTheme="majorHAnsi" w:eastAsia="Times New Roman" w:hAnsiTheme="majorHAnsi" w:cstheme="minorHAnsi"/>
          <w:lang w:eastAsia="en-GB"/>
        </w:rPr>
        <w:t xml:space="preserve">investment </w:t>
      </w:r>
      <w:proofErr w:type="spellStart"/>
      <w:r w:rsidR="006C3EC5" w:rsidRPr="00773854">
        <w:rPr>
          <w:rFonts w:asciiTheme="majorHAnsi" w:eastAsia="Times New Roman" w:hAnsiTheme="majorHAnsi" w:cstheme="minorHAnsi"/>
          <w:lang w:eastAsia="en-GB"/>
        </w:rPr>
        <w:t>pro</w:t>
      </w:r>
      <w:r w:rsidR="00704984" w:rsidRPr="00773854">
        <w:rPr>
          <w:rFonts w:asciiTheme="majorHAnsi" w:eastAsia="Times New Roman" w:hAnsiTheme="majorHAnsi" w:cstheme="minorHAnsi"/>
          <w:lang w:eastAsia="en-GB"/>
        </w:rPr>
        <w:t>gram</w:t>
      </w:r>
      <w:r w:rsidR="00F969CE">
        <w:rPr>
          <w:rFonts w:asciiTheme="majorHAnsi" w:eastAsia="Times New Roman" w:hAnsiTheme="majorHAnsi" w:cstheme="minorHAnsi"/>
          <w:lang w:eastAsia="en-GB"/>
        </w:rPr>
        <w:t>me</w:t>
      </w:r>
      <w:proofErr w:type="spellEnd"/>
      <w:r w:rsidR="006C3EC5" w:rsidRPr="00773854">
        <w:rPr>
          <w:rFonts w:asciiTheme="majorHAnsi" w:eastAsia="Times New Roman" w:hAnsiTheme="majorHAnsi" w:cstheme="minorHAnsi"/>
          <w:lang w:eastAsia="en-GB"/>
        </w:rPr>
        <w:t xml:space="preserve">, </w:t>
      </w:r>
      <w:r w:rsidR="00826C65">
        <w:rPr>
          <w:rFonts w:asciiTheme="majorHAnsi" w:eastAsia="Times New Roman" w:hAnsiTheme="majorHAnsi" w:cstheme="minorHAnsi"/>
          <w:lang w:eastAsia="en-GB"/>
        </w:rPr>
        <w:t>kick</w:t>
      </w:r>
      <w:r w:rsidR="007D4F5A">
        <w:rPr>
          <w:rFonts w:asciiTheme="majorHAnsi" w:eastAsia="Times New Roman" w:hAnsiTheme="majorHAnsi" w:cstheme="minorHAnsi"/>
          <w:lang w:eastAsia="en-GB"/>
        </w:rPr>
        <w:t>-</w:t>
      </w:r>
      <w:r w:rsidR="00826C65">
        <w:rPr>
          <w:rFonts w:asciiTheme="majorHAnsi" w:eastAsia="Times New Roman" w:hAnsiTheme="majorHAnsi" w:cstheme="minorHAnsi"/>
          <w:lang w:eastAsia="en-GB"/>
        </w:rPr>
        <w:t xml:space="preserve">started by </w:t>
      </w:r>
      <w:r w:rsidR="00951C35">
        <w:rPr>
          <w:rFonts w:asciiTheme="majorHAnsi" w:eastAsia="Times New Roman" w:hAnsiTheme="majorHAnsi" w:cstheme="minorHAnsi"/>
          <w:lang w:eastAsia="en-GB"/>
        </w:rPr>
        <w:t xml:space="preserve">a </w:t>
      </w:r>
      <w:r w:rsidR="00826C65">
        <w:rPr>
          <w:rFonts w:asciiTheme="majorHAnsi" w:eastAsia="Times New Roman" w:hAnsiTheme="majorHAnsi" w:cstheme="minorHAnsi"/>
          <w:lang w:eastAsia="en-GB"/>
        </w:rPr>
        <w:t xml:space="preserve">public </w:t>
      </w:r>
      <w:r w:rsidR="007D4F5A">
        <w:rPr>
          <w:rFonts w:asciiTheme="majorHAnsi" w:eastAsia="Times New Roman" w:hAnsiTheme="majorHAnsi" w:cstheme="minorHAnsi"/>
          <w:lang w:eastAsia="en-GB"/>
        </w:rPr>
        <w:t>capital contribution</w:t>
      </w:r>
      <w:r w:rsidR="00826C65">
        <w:rPr>
          <w:rFonts w:asciiTheme="majorHAnsi" w:eastAsia="Times New Roman" w:hAnsiTheme="majorHAnsi" w:cstheme="minorHAnsi"/>
          <w:lang w:eastAsia="en-GB"/>
        </w:rPr>
        <w:t xml:space="preserve"> and leveraged </w:t>
      </w:r>
      <w:r w:rsidR="007D4F5A">
        <w:rPr>
          <w:rFonts w:asciiTheme="majorHAnsi" w:eastAsia="Times New Roman" w:hAnsiTheme="majorHAnsi" w:cstheme="minorHAnsi"/>
          <w:lang w:eastAsia="en-GB"/>
        </w:rPr>
        <w:t>by tapping privat</w:t>
      </w:r>
      <w:r w:rsidR="00826C65">
        <w:rPr>
          <w:rFonts w:asciiTheme="majorHAnsi" w:eastAsia="Times New Roman" w:hAnsiTheme="majorHAnsi" w:cstheme="minorHAnsi"/>
          <w:lang w:eastAsia="en-GB"/>
        </w:rPr>
        <w:t xml:space="preserve">e </w:t>
      </w:r>
      <w:r w:rsidR="007D4F5A">
        <w:rPr>
          <w:rFonts w:asciiTheme="majorHAnsi" w:eastAsia="Times New Roman" w:hAnsiTheme="majorHAnsi" w:cstheme="minorHAnsi"/>
          <w:lang w:eastAsia="en-GB"/>
        </w:rPr>
        <w:t>saving</w:t>
      </w:r>
      <w:r w:rsidR="00B711CC">
        <w:rPr>
          <w:rFonts w:asciiTheme="majorHAnsi" w:eastAsia="Times New Roman" w:hAnsiTheme="majorHAnsi" w:cstheme="minorHAnsi"/>
          <w:lang w:eastAsia="en-GB"/>
        </w:rPr>
        <w:t>s which are</w:t>
      </w:r>
      <w:r w:rsidR="00826C65">
        <w:rPr>
          <w:rFonts w:asciiTheme="majorHAnsi" w:eastAsia="Times New Roman" w:hAnsiTheme="majorHAnsi" w:cstheme="minorHAnsi"/>
          <w:lang w:eastAsia="en-GB"/>
        </w:rPr>
        <w:t xml:space="preserve"> </w:t>
      </w:r>
      <w:r>
        <w:rPr>
          <w:rFonts w:asciiTheme="majorHAnsi" w:eastAsia="Times New Roman" w:hAnsiTheme="majorHAnsi" w:cstheme="minorHAnsi"/>
          <w:lang w:eastAsia="en-GB"/>
        </w:rPr>
        <w:t>currently idling</w:t>
      </w:r>
      <w:r w:rsidR="007D4F5A">
        <w:rPr>
          <w:rFonts w:asciiTheme="majorHAnsi" w:eastAsia="Times New Roman" w:hAnsiTheme="majorHAnsi" w:cstheme="minorHAnsi"/>
          <w:lang w:eastAsia="en-GB"/>
        </w:rPr>
        <w:t xml:space="preserve"> in financial</w:t>
      </w:r>
      <w:r w:rsidR="00826C65">
        <w:rPr>
          <w:rFonts w:asciiTheme="majorHAnsi" w:eastAsia="Times New Roman" w:hAnsiTheme="majorHAnsi" w:cstheme="minorHAnsi"/>
          <w:lang w:eastAsia="en-GB"/>
        </w:rPr>
        <w:t xml:space="preserve"> markets</w:t>
      </w:r>
      <w:r w:rsidR="00207256" w:rsidRPr="00773854">
        <w:rPr>
          <w:rFonts w:asciiTheme="majorHAnsi" w:eastAsia="Times New Roman" w:hAnsiTheme="majorHAnsi" w:cstheme="minorHAnsi"/>
          <w:lang w:eastAsia="en-GB"/>
        </w:rPr>
        <w:t xml:space="preserve">. </w:t>
      </w:r>
      <w:r w:rsidR="00BB7037" w:rsidRPr="00773854">
        <w:rPr>
          <w:rFonts w:asciiTheme="majorHAnsi" w:eastAsia="Times New Roman" w:hAnsiTheme="majorHAnsi" w:cstheme="minorHAnsi"/>
          <w:lang w:eastAsia="en-GB"/>
        </w:rPr>
        <w:t xml:space="preserve">To overcome </w:t>
      </w:r>
      <w:r w:rsidR="00951C35">
        <w:rPr>
          <w:rFonts w:asciiTheme="majorHAnsi" w:eastAsia="Times New Roman" w:hAnsiTheme="majorHAnsi" w:cstheme="minorHAnsi"/>
          <w:lang w:eastAsia="en-GB"/>
        </w:rPr>
        <w:t>existing</w:t>
      </w:r>
      <w:r w:rsidR="00BB7037" w:rsidRPr="00773854">
        <w:rPr>
          <w:rFonts w:asciiTheme="majorHAnsi" w:eastAsia="Times New Roman" w:hAnsiTheme="majorHAnsi" w:cstheme="minorHAnsi"/>
          <w:lang w:eastAsia="en-GB"/>
        </w:rPr>
        <w:t xml:space="preserve"> constraints on national fiscal policies</w:t>
      </w:r>
      <w:r w:rsidR="005C50F2" w:rsidRPr="00773854">
        <w:rPr>
          <w:rFonts w:asciiTheme="majorHAnsi" w:eastAsia="Times New Roman" w:hAnsiTheme="majorHAnsi" w:cstheme="minorHAnsi"/>
          <w:lang w:eastAsia="en-GB"/>
        </w:rPr>
        <w:t>,</w:t>
      </w:r>
      <w:r w:rsidR="00BB7037" w:rsidRPr="00773854">
        <w:rPr>
          <w:rFonts w:asciiTheme="majorHAnsi" w:eastAsia="Times New Roman" w:hAnsiTheme="majorHAnsi" w:cstheme="minorHAnsi"/>
          <w:lang w:eastAsia="en-GB"/>
        </w:rPr>
        <w:t xml:space="preserve"> the </w:t>
      </w:r>
      <w:r w:rsidR="005C50F2" w:rsidRPr="00773854">
        <w:rPr>
          <w:rFonts w:asciiTheme="majorHAnsi" w:eastAsia="Times New Roman" w:hAnsiTheme="majorHAnsi" w:cstheme="minorHAnsi"/>
          <w:lang w:eastAsia="en-GB"/>
        </w:rPr>
        <w:t xml:space="preserve">EU-wide investment </w:t>
      </w:r>
      <w:r w:rsidR="00BB7037" w:rsidRPr="00773854">
        <w:rPr>
          <w:rFonts w:asciiTheme="majorHAnsi" w:eastAsia="Times New Roman" w:hAnsiTheme="majorHAnsi" w:cstheme="minorHAnsi"/>
          <w:lang w:eastAsia="en-GB"/>
        </w:rPr>
        <w:t xml:space="preserve">scheme </w:t>
      </w:r>
      <w:r w:rsidR="00826C65">
        <w:rPr>
          <w:rFonts w:asciiTheme="majorHAnsi" w:eastAsia="Times New Roman" w:hAnsiTheme="majorHAnsi" w:cstheme="minorHAnsi"/>
          <w:lang w:eastAsia="en-GB"/>
        </w:rPr>
        <w:t>would</w:t>
      </w:r>
      <w:r w:rsidR="00BB7037" w:rsidRPr="00773854">
        <w:rPr>
          <w:rFonts w:asciiTheme="majorHAnsi" w:eastAsia="Times New Roman" w:hAnsiTheme="majorHAnsi" w:cstheme="minorHAnsi"/>
          <w:lang w:eastAsia="en-GB"/>
        </w:rPr>
        <w:t xml:space="preserve"> be set up at </w:t>
      </w:r>
      <w:r w:rsidR="00062384">
        <w:rPr>
          <w:rFonts w:asciiTheme="majorHAnsi" w:eastAsia="Times New Roman" w:hAnsiTheme="majorHAnsi" w:cstheme="minorHAnsi"/>
          <w:lang w:eastAsia="en-GB"/>
        </w:rPr>
        <w:t>the</w:t>
      </w:r>
      <w:r w:rsidR="00BB7037" w:rsidRPr="00773854">
        <w:rPr>
          <w:rFonts w:asciiTheme="majorHAnsi" w:eastAsia="Times New Roman" w:hAnsiTheme="majorHAnsi" w:cstheme="minorHAnsi"/>
          <w:lang w:eastAsia="en-GB"/>
        </w:rPr>
        <w:t xml:space="preserve"> </w:t>
      </w:r>
      <w:r w:rsidR="00062384">
        <w:rPr>
          <w:rFonts w:asciiTheme="majorHAnsi" w:eastAsia="Times New Roman" w:hAnsiTheme="majorHAnsi" w:cstheme="minorHAnsi"/>
          <w:lang w:eastAsia="en-GB"/>
        </w:rPr>
        <w:t>C</w:t>
      </w:r>
      <w:r w:rsidR="00BB7037" w:rsidRPr="00773854">
        <w:rPr>
          <w:rFonts w:asciiTheme="majorHAnsi" w:eastAsia="Times New Roman" w:hAnsiTheme="majorHAnsi" w:cstheme="minorHAnsi"/>
          <w:lang w:eastAsia="en-GB"/>
        </w:rPr>
        <w:t>ommunity level</w:t>
      </w:r>
      <w:r w:rsidR="000A3EC9">
        <w:rPr>
          <w:rFonts w:asciiTheme="majorHAnsi" w:eastAsia="Times New Roman" w:hAnsiTheme="majorHAnsi" w:cstheme="minorHAnsi"/>
          <w:lang w:eastAsia="en-GB"/>
        </w:rPr>
        <w:t xml:space="preserve">, </w:t>
      </w:r>
      <w:r>
        <w:rPr>
          <w:rFonts w:asciiTheme="majorHAnsi" w:eastAsia="Times New Roman" w:hAnsiTheme="majorHAnsi" w:cstheme="minorHAnsi"/>
          <w:lang w:eastAsia="en-GB"/>
        </w:rPr>
        <w:t>specifically</w:t>
      </w:r>
      <w:r w:rsidR="000A3EC9">
        <w:rPr>
          <w:rFonts w:asciiTheme="majorHAnsi" w:eastAsia="Times New Roman" w:hAnsiTheme="majorHAnsi" w:cstheme="minorHAnsi"/>
          <w:lang w:eastAsia="en-GB"/>
        </w:rPr>
        <w:t xml:space="preserve"> in the form of </w:t>
      </w:r>
      <w:r>
        <w:rPr>
          <w:rFonts w:asciiTheme="majorHAnsi" w:eastAsia="Times New Roman" w:hAnsiTheme="majorHAnsi" w:cstheme="minorHAnsi"/>
          <w:lang w:eastAsia="en-GB"/>
        </w:rPr>
        <w:t xml:space="preserve">a </w:t>
      </w:r>
      <w:r w:rsidR="000A3EC9" w:rsidRPr="00773854">
        <w:rPr>
          <w:rFonts w:asciiTheme="majorHAnsi" w:eastAsia="Times New Roman" w:hAnsiTheme="majorHAnsi" w:cstheme="minorHAnsi"/>
          <w:b/>
          <w:lang w:eastAsia="en-GB"/>
        </w:rPr>
        <w:t>European Fund for Investment (EFI)</w:t>
      </w:r>
      <w:r w:rsidR="000A3EC9" w:rsidRPr="00CB6276">
        <w:rPr>
          <w:rFonts w:asciiTheme="majorHAnsi" w:eastAsia="Times New Roman" w:hAnsiTheme="majorHAnsi" w:cstheme="minorHAnsi"/>
          <w:lang w:eastAsia="en-GB"/>
        </w:rPr>
        <w:t>.</w:t>
      </w:r>
      <w:r w:rsidR="000A3EC9" w:rsidRPr="00773854">
        <w:rPr>
          <w:rFonts w:asciiTheme="majorHAnsi" w:eastAsia="Times New Roman" w:hAnsiTheme="majorHAnsi" w:cstheme="minorHAnsi"/>
          <w:lang w:eastAsia="en-GB"/>
        </w:rPr>
        <w:t xml:space="preserve"> </w:t>
      </w:r>
      <w:r w:rsidR="00BB7037" w:rsidRPr="00773854">
        <w:rPr>
          <w:rFonts w:asciiTheme="majorHAnsi" w:eastAsia="Times New Roman" w:hAnsiTheme="majorHAnsi" w:cstheme="minorHAnsi"/>
          <w:lang w:eastAsia="en-GB"/>
        </w:rPr>
        <w:t xml:space="preserve"> </w:t>
      </w:r>
      <w:r w:rsidR="00A6680A">
        <w:rPr>
          <w:rFonts w:asciiTheme="majorHAnsi" w:eastAsia="Times New Roman" w:hAnsiTheme="majorHAnsi" w:cstheme="minorHAnsi"/>
          <w:lang w:eastAsia="en-GB"/>
        </w:rPr>
        <w:t>Such</w:t>
      </w:r>
      <w:r w:rsidR="00BB7037" w:rsidRPr="00773854">
        <w:rPr>
          <w:rFonts w:asciiTheme="majorHAnsi" w:eastAsia="Times New Roman" w:hAnsiTheme="majorHAnsi" w:cstheme="minorHAnsi"/>
          <w:lang w:eastAsia="en-GB"/>
        </w:rPr>
        <w:t xml:space="preserve"> </w:t>
      </w:r>
      <w:r>
        <w:rPr>
          <w:rFonts w:asciiTheme="majorHAnsi" w:eastAsia="Times New Roman" w:hAnsiTheme="majorHAnsi" w:cstheme="minorHAnsi"/>
          <w:lang w:eastAsia="en-GB"/>
        </w:rPr>
        <w:t xml:space="preserve">a </w:t>
      </w:r>
      <w:r w:rsidR="00BB7037" w:rsidRPr="00773854">
        <w:rPr>
          <w:rFonts w:asciiTheme="majorHAnsi" w:eastAsia="Times New Roman" w:hAnsiTheme="majorHAnsi" w:cstheme="minorHAnsi"/>
          <w:lang w:eastAsia="en-GB"/>
        </w:rPr>
        <w:t>financing formula w</w:t>
      </w:r>
      <w:r w:rsidR="00826C65">
        <w:rPr>
          <w:rFonts w:asciiTheme="majorHAnsi" w:eastAsia="Times New Roman" w:hAnsiTheme="majorHAnsi" w:cstheme="minorHAnsi"/>
          <w:lang w:eastAsia="en-GB"/>
        </w:rPr>
        <w:t>ould</w:t>
      </w:r>
      <w:r w:rsidR="00BB7037" w:rsidRPr="00773854">
        <w:rPr>
          <w:rFonts w:asciiTheme="majorHAnsi" w:eastAsia="Times New Roman" w:hAnsiTheme="majorHAnsi" w:cstheme="minorHAnsi"/>
          <w:lang w:eastAsia="en-GB"/>
        </w:rPr>
        <w:t xml:space="preserve"> provide a strong pro-growth stimulus </w:t>
      </w:r>
      <w:r w:rsidR="005C50F2" w:rsidRPr="00773854">
        <w:rPr>
          <w:rFonts w:asciiTheme="majorHAnsi" w:eastAsia="Times New Roman" w:hAnsiTheme="majorHAnsi" w:cstheme="minorHAnsi"/>
          <w:lang w:eastAsia="en-GB"/>
        </w:rPr>
        <w:t xml:space="preserve">in </w:t>
      </w:r>
      <w:r w:rsidR="00BB7037" w:rsidRPr="00773854">
        <w:rPr>
          <w:rFonts w:asciiTheme="majorHAnsi" w:eastAsia="Times New Roman" w:hAnsiTheme="majorHAnsi" w:cstheme="minorHAnsi"/>
          <w:lang w:eastAsia="en-GB"/>
        </w:rPr>
        <w:t xml:space="preserve">full </w:t>
      </w:r>
      <w:r w:rsidR="005C50F2" w:rsidRPr="00773854">
        <w:rPr>
          <w:rFonts w:asciiTheme="majorHAnsi" w:eastAsia="Times New Roman" w:hAnsiTheme="majorHAnsi" w:cstheme="minorHAnsi"/>
          <w:lang w:eastAsia="en-GB"/>
        </w:rPr>
        <w:t>compliance</w:t>
      </w:r>
      <w:r w:rsidR="00BB7037" w:rsidRPr="00773854">
        <w:rPr>
          <w:rFonts w:asciiTheme="majorHAnsi" w:eastAsia="Times New Roman" w:hAnsiTheme="majorHAnsi" w:cstheme="minorHAnsi"/>
          <w:lang w:eastAsia="en-GB"/>
        </w:rPr>
        <w:t xml:space="preserve"> with the SGP rules</w:t>
      </w:r>
      <w:r w:rsidR="00FB6CDB">
        <w:rPr>
          <w:rFonts w:asciiTheme="majorHAnsi" w:eastAsia="Times New Roman" w:hAnsiTheme="majorHAnsi" w:cstheme="minorHAnsi"/>
          <w:lang w:eastAsia="en-GB"/>
        </w:rPr>
        <w:t xml:space="preserve">, </w:t>
      </w:r>
      <w:r w:rsidR="00325642">
        <w:rPr>
          <w:rFonts w:asciiTheme="majorHAnsi" w:eastAsia="Times New Roman" w:hAnsiTheme="majorHAnsi" w:cstheme="minorHAnsi"/>
          <w:lang w:eastAsia="en-GB"/>
        </w:rPr>
        <w:t>and with very limited impact on</w:t>
      </w:r>
      <w:r>
        <w:rPr>
          <w:rFonts w:asciiTheme="majorHAnsi" w:eastAsia="Times New Roman" w:hAnsiTheme="majorHAnsi" w:cstheme="minorHAnsi"/>
          <w:lang w:eastAsia="en-GB"/>
        </w:rPr>
        <w:t xml:space="preserve"> the</w:t>
      </w:r>
      <w:r w:rsidR="00325642">
        <w:rPr>
          <w:rFonts w:asciiTheme="majorHAnsi" w:eastAsia="Times New Roman" w:hAnsiTheme="majorHAnsi" w:cstheme="minorHAnsi"/>
          <w:lang w:eastAsia="en-GB"/>
        </w:rPr>
        <w:t xml:space="preserve"> </w:t>
      </w:r>
      <w:r w:rsidR="00FB6CDB">
        <w:rPr>
          <w:rFonts w:asciiTheme="majorHAnsi" w:eastAsia="Times New Roman" w:hAnsiTheme="majorHAnsi" w:cstheme="minorHAnsi"/>
          <w:lang w:eastAsia="en-GB"/>
        </w:rPr>
        <w:t>fiscal positions of Member States</w:t>
      </w:r>
      <w:r w:rsidR="00BB7037" w:rsidRPr="00773854">
        <w:rPr>
          <w:rFonts w:asciiTheme="majorHAnsi" w:eastAsia="Times New Roman" w:hAnsiTheme="majorHAnsi" w:cstheme="minorHAnsi"/>
          <w:lang w:eastAsia="en-GB"/>
        </w:rPr>
        <w:t>.</w:t>
      </w:r>
      <w:r w:rsidR="005C50F2" w:rsidRPr="00773854">
        <w:rPr>
          <w:rFonts w:asciiTheme="majorHAnsi" w:eastAsia="Times New Roman" w:hAnsiTheme="majorHAnsi" w:cstheme="minorHAnsi"/>
          <w:lang w:eastAsia="en-GB"/>
        </w:rPr>
        <w:t xml:space="preserve"> </w:t>
      </w:r>
    </w:p>
    <w:p w:rsidR="00325642" w:rsidRDefault="0071014C" w:rsidP="00205EC9">
      <w:pPr>
        <w:spacing w:before="120"/>
        <w:jc w:val="both"/>
        <w:rPr>
          <w:rFonts w:asciiTheme="majorHAnsi" w:eastAsia="Times New Roman" w:hAnsiTheme="majorHAnsi" w:cstheme="minorHAnsi"/>
          <w:lang w:eastAsia="en-GB"/>
        </w:rPr>
      </w:pPr>
      <w:r>
        <w:rPr>
          <w:rFonts w:asciiTheme="majorHAnsi" w:eastAsia="Times New Roman" w:hAnsiTheme="majorHAnsi" w:cstheme="minorHAnsi"/>
          <w:lang w:eastAsia="en-GB"/>
        </w:rPr>
        <w:t>Based on</w:t>
      </w:r>
      <w:r w:rsidR="00325642" w:rsidRPr="00773854">
        <w:rPr>
          <w:rFonts w:asciiTheme="majorHAnsi" w:eastAsia="Times New Roman" w:hAnsiTheme="majorHAnsi" w:cstheme="minorHAnsi"/>
          <w:lang w:eastAsia="en-GB"/>
        </w:rPr>
        <w:t xml:space="preserve"> conservative assumptions about the size of the current output gap and fiscal multipliers, closing the output gap in the medium term requires investment spending of around 5.5% of European Union GDP or 700 billion euros. </w:t>
      </w:r>
      <w:r w:rsidR="00325642">
        <w:rPr>
          <w:rFonts w:asciiTheme="majorHAnsi" w:eastAsia="Times New Roman" w:hAnsiTheme="majorHAnsi" w:cstheme="minorHAnsi"/>
          <w:lang w:eastAsia="en-GB"/>
        </w:rPr>
        <w:t xml:space="preserve">This amount </w:t>
      </w:r>
      <w:r>
        <w:rPr>
          <w:rFonts w:asciiTheme="majorHAnsi" w:eastAsia="Times New Roman" w:hAnsiTheme="majorHAnsi" w:cstheme="minorHAnsi"/>
          <w:lang w:eastAsia="en-GB"/>
        </w:rPr>
        <w:t xml:space="preserve">has been </w:t>
      </w:r>
      <w:r w:rsidR="00325642">
        <w:rPr>
          <w:rFonts w:asciiTheme="majorHAnsi" w:eastAsia="Times New Roman" w:hAnsiTheme="majorHAnsi" w:cstheme="minorHAnsi"/>
          <w:lang w:eastAsia="en-GB"/>
        </w:rPr>
        <w:t>used as the</w:t>
      </w:r>
      <w:r w:rsidR="00325642" w:rsidRPr="00773854">
        <w:rPr>
          <w:rFonts w:asciiTheme="majorHAnsi" w:eastAsia="Times New Roman" w:hAnsiTheme="majorHAnsi" w:cstheme="minorHAnsi"/>
          <w:lang w:eastAsia="en-GB"/>
        </w:rPr>
        <w:t xml:space="preserve"> </w:t>
      </w:r>
      <w:r w:rsidR="00325642">
        <w:rPr>
          <w:rFonts w:asciiTheme="majorHAnsi" w:eastAsia="Times New Roman" w:hAnsiTheme="majorHAnsi" w:cstheme="minorHAnsi"/>
          <w:lang w:eastAsia="en-GB"/>
        </w:rPr>
        <w:t>basis for the current proposal</w:t>
      </w:r>
      <w:r>
        <w:rPr>
          <w:rFonts w:asciiTheme="majorHAnsi" w:eastAsia="Times New Roman" w:hAnsiTheme="majorHAnsi" w:cstheme="minorHAnsi"/>
          <w:lang w:eastAsia="en-GB"/>
        </w:rPr>
        <w:t>. T</w:t>
      </w:r>
      <w:r w:rsidR="00325642">
        <w:rPr>
          <w:rFonts w:asciiTheme="majorHAnsi" w:eastAsia="Times New Roman" w:hAnsiTheme="majorHAnsi" w:cstheme="minorHAnsi"/>
          <w:lang w:eastAsia="en-GB"/>
        </w:rPr>
        <w:t>he overall size of the initiative would need to be reviewed</w:t>
      </w:r>
      <w:r>
        <w:rPr>
          <w:rFonts w:asciiTheme="majorHAnsi" w:eastAsia="Times New Roman" w:hAnsiTheme="majorHAnsi" w:cstheme="minorHAnsi"/>
          <w:lang w:eastAsia="en-GB"/>
        </w:rPr>
        <w:t xml:space="preserve"> based on</w:t>
      </w:r>
      <w:r w:rsidR="00325642">
        <w:rPr>
          <w:rFonts w:asciiTheme="majorHAnsi" w:eastAsia="Times New Roman" w:hAnsiTheme="majorHAnsi" w:cstheme="minorHAnsi"/>
          <w:lang w:eastAsia="en-GB"/>
        </w:rPr>
        <w:t xml:space="preserve"> forthcoming </w:t>
      </w:r>
      <w:r w:rsidR="00325642" w:rsidRPr="00C3218D">
        <w:rPr>
          <w:rFonts w:asciiTheme="majorHAnsi" w:eastAsia="Times New Roman" w:hAnsiTheme="majorHAnsi" w:cstheme="minorHAnsi"/>
          <w:lang w:eastAsia="en-GB"/>
        </w:rPr>
        <w:t xml:space="preserve">findings of the Task Force </w:t>
      </w:r>
      <w:r>
        <w:rPr>
          <w:rFonts w:asciiTheme="majorHAnsi" w:eastAsia="Times New Roman" w:hAnsiTheme="majorHAnsi" w:cstheme="minorHAnsi"/>
          <w:lang w:eastAsia="en-GB"/>
        </w:rPr>
        <w:t xml:space="preserve">on </w:t>
      </w:r>
      <w:r w:rsidR="00325642">
        <w:rPr>
          <w:rFonts w:asciiTheme="majorHAnsi" w:eastAsia="Times New Roman" w:hAnsiTheme="majorHAnsi" w:cstheme="minorHAnsi"/>
          <w:lang w:eastAsia="en-GB"/>
        </w:rPr>
        <w:t xml:space="preserve">the </w:t>
      </w:r>
      <w:r w:rsidR="00325642" w:rsidRPr="00C3218D">
        <w:rPr>
          <w:rFonts w:asciiTheme="majorHAnsi" w:eastAsia="Times New Roman" w:hAnsiTheme="majorHAnsi" w:cstheme="minorHAnsi"/>
          <w:lang w:eastAsia="en-GB"/>
        </w:rPr>
        <w:t>availability of good investment projects across Europe</w:t>
      </w:r>
      <w:r w:rsidR="00325642">
        <w:rPr>
          <w:rFonts w:asciiTheme="majorHAnsi" w:eastAsia="Times New Roman" w:hAnsiTheme="majorHAnsi" w:cstheme="minorHAnsi"/>
          <w:lang w:eastAsia="en-GB"/>
        </w:rPr>
        <w:t xml:space="preserve">. </w:t>
      </w:r>
    </w:p>
    <w:p w:rsidR="00AB1742" w:rsidRPr="004F6B3B" w:rsidRDefault="001523AC" w:rsidP="00150C8A">
      <w:pPr>
        <w:spacing w:before="360"/>
        <w:jc w:val="both"/>
        <w:rPr>
          <w:rFonts w:asciiTheme="majorHAnsi" w:eastAsia="Times New Roman" w:hAnsiTheme="majorHAnsi" w:cstheme="minorHAnsi"/>
          <w:i/>
          <w:lang w:eastAsia="en-GB"/>
        </w:rPr>
      </w:pPr>
      <w:r w:rsidRPr="004F6B3B">
        <w:rPr>
          <w:rFonts w:asciiTheme="majorHAnsi" w:eastAsia="Times New Roman" w:hAnsiTheme="majorHAnsi" w:cstheme="minorHAnsi"/>
          <w:i/>
          <w:lang w:eastAsia="en-GB"/>
        </w:rPr>
        <w:t>Large</w:t>
      </w:r>
      <w:r w:rsidR="00137181">
        <w:rPr>
          <w:rFonts w:asciiTheme="majorHAnsi" w:eastAsia="Times New Roman" w:hAnsiTheme="majorHAnsi" w:cstheme="minorHAnsi"/>
          <w:i/>
          <w:lang w:eastAsia="en-GB"/>
        </w:rPr>
        <w:t>,</w:t>
      </w:r>
      <w:r w:rsidRPr="004F6B3B">
        <w:rPr>
          <w:rFonts w:asciiTheme="majorHAnsi" w:eastAsia="Times New Roman" w:hAnsiTheme="majorHAnsi" w:cstheme="minorHAnsi"/>
          <w:i/>
          <w:lang w:eastAsia="en-GB"/>
        </w:rPr>
        <w:t xml:space="preserve"> </w:t>
      </w:r>
      <w:r>
        <w:rPr>
          <w:rFonts w:asciiTheme="majorHAnsi" w:eastAsia="Times New Roman" w:hAnsiTheme="majorHAnsi" w:cstheme="minorHAnsi"/>
          <w:i/>
          <w:lang w:eastAsia="en-GB"/>
        </w:rPr>
        <w:t xml:space="preserve">pan-European </w:t>
      </w:r>
      <w:r w:rsidRPr="004F6B3B">
        <w:rPr>
          <w:rFonts w:asciiTheme="majorHAnsi" w:eastAsia="Times New Roman" w:hAnsiTheme="majorHAnsi" w:cstheme="minorHAnsi"/>
          <w:i/>
          <w:lang w:eastAsia="en-GB"/>
        </w:rPr>
        <w:t>investment projects to be a target</w:t>
      </w:r>
    </w:p>
    <w:p w:rsidR="001C519B" w:rsidRDefault="005C50F2" w:rsidP="00205EC9">
      <w:pPr>
        <w:spacing w:before="120"/>
        <w:jc w:val="both"/>
        <w:rPr>
          <w:rFonts w:asciiTheme="majorHAnsi" w:eastAsia="Times New Roman" w:hAnsiTheme="majorHAnsi" w:cstheme="minorHAnsi"/>
          <w:lang w:eastAsia="en-GB"/>
        </w:rPr>
      </w:pPr>
      <w:r w:rsidRPr="00773854">
        <w:rPr>
          <w:rFonts w:asciiTheme="majorHAnsi" w:eastAsia="Times New Roman" w:hAnsiTheme="majorHAnsi" w:cstheme="minorHAnsi"/>
          <w:lang w:eastAsia="en-GB"/>
        </w:rPr>
        <w:t>The investment boost w</w:t>
      </w:r>
      <w:r w:rsidR="00FB6CDB">
        <w:rPr>
          <w:rFonts w:asciiTheme="majorHAnsi" w:eastAsia="Times New Roman" w:hAnsiTheme="majorHAnsi" w:cstheme="minorHAnsi"/>
          <w:lang w:eastAsia="en-GB"/>
        </w:rPr>
        <w:t>ould</w:t>
      </w:r>
      <w:r w:rsidRPr="00773854">
        <w:rPr>
          <w:rFonts w:asciiTheme="majorHAnsi" w:eastAsia="Times New Roman" w:hAnsiTheme="majorHAnsi" w:cstheme="minorHAnsi"/>
          <w:lang w:eastAsia="en-GB"/>
        </w:rPr>
        <w:t xml:space="preserve"> be targeted at </w:t>
      </w:r>
      <w:r w:rsidR="00687D8B">
        <w:rPr>
          <w:rFonts w:asciiTheme="majorHAnsi" w:eastAsia="Times New Roman" w:hAnsiTheme="majorHAnsi" w:cstheme="minorHAnsi"/>
          <w:lang w:eastAsia="en-GB"/>
        </w:rPr>
        <w:t>achieving</w:t>
      </w:r>
      <w:r w:rsidR="00951C35">
        <w:rPr>
          <w:rFonts w:asciiTheme="majorHAnsi" w:eastAsia="Times New Roman" w:hAnsiTheme="majorHAnsi" w:cstheme="minorHAnsi"/>
          <w:lang w:eastAsia="en-GB"/>
        </w:rPr>
        <w:t xml:space="preserve"> the</w:t>
      </w:r>
      <w:r w:rsidRPr="00773854">
        <w:rPr>
          <w:rFonts w:asciiTheme="majorHAnsi" w:eastAsia="Times New Roman" w:hAnsiTheme="majorHAnsi" w:cstheme="minorHAnsi"/>
          <w:lang w:eastAsia="en-GB"/>
        </w:rPr>
        <w:t xml:space="preserve"> Europe 2020 strategy </w:t>
      </w:r>
      <w:r w:rsidR="00687D8B">
        <w:rPr>
          <w:rFonts w:asciiTheme="majorHAnsi" w:eastAsia="Times New Roman" w:hAnsiTheme="majorHAnsi" w:cstheme="minorHAnsi"/>
          <w:lang w:eastAsia="en-GB"/>
        </w:rPr>
        <w:t xml:space="preserve">goals </w:t>
      </w:r>
      <w:r w:rsidRPr="00773854">
        <w:rPr>
          <w:rFonts w:asciiTheme="majorHAnsi" w:eastAsia="Times New Roman" w:hAnsiTheme="majorHAnsi" w:cstheme="minorHAnsi"/>
          <w:lang w:eastAsia="en-GB"/>
        </w:rPr>
        <w:t>and other EU pro-growth policies</w:t>
      </w:r>
      <w:r w:rsidR="00347B71" w:rsidRPr="00773854">
        <w:rPr>
          <w:rFonts w:asciiTheme="majorHAnsi" w:eastAsia="Times New Roman" w:hAnsiTheme="majorHAnsi" w:cstheme="minorHAnsi"/>
          <w:lang w:eastAsia="en-GB"/>
        </w:rPr>
        <w:t xml:space="preserve">, by directing resources towards </w:t>
      </w:r>
      <w:r w:rsidR="00951C35" w:rsidRPr="00773854">
        <w:rPr>
          <w:rFonts w:asciiTheme="majorHAnsi" w:eastAsia="Times New Roman" w:hAnsiTheme="majorHAnsi" w:cstheme="minorHAnsi"/>
          <w:lang w:eastAsia="en-GB"/>
        </w:rPr>
        <w:t>large</w:t>
      </w:r>
      <w:r w:rsidR="00951C35">
        <w:rPr>
          <w:rFonts w:asciiTheme="majorHAnsi" w:eastAsia="Times New Roman" w:hAnsiTheme="majorHAnsi" w:cstheme="minorHAnsi"/>
          <w:lang w:eastAsia="en-GB"/>
        </w:rPr>
        <w:t>-</w:t>
      </w:r>
      <w:r w:rsidRPr="00773854">
        <w:rPr>
          <w:rFonts w:asciiTheme="majorHAnsi" w:eastAsia="Times New Roman" w:hAnsiTheme="majorHAnsi" w:cstheme="minorHAnsi"/>
          <w:lang w:eastAsia="en-GB"/>
        </w:rPr>
        <w:t>scale, economically viable projects</w:t>
      </w:r>
      <w:r w:rsidR="00FB6CDB">
        <w:rPr>
          <w:rFonts w:asciiTheme="majorHAnsi" w:eastAsia="Times New Roman" w:hAnsiTheme="majorHAnsi" w:cstheme="minorHAnsi"/>
          <w:lang w:eastAsia="en-GB"/>
        </w:rPr>
        <w:t>, mainly</w:t>
      </w:r>
      <w:r w:rsidRPr="00773854">
        <w:rPr>
          <w:rFonts w:asciiTheme="majorHAnsi" w:eastAsia="Times New Roman" w:hAnsiTheme="majorHAnsi" w:cstheme="minorHAnsi"/>
          <w:lang w:eastAsia="en-GB"/>
        </w:rPr>
        <w:t xml:space="preserve"> in energy, transportation and ICT. Such projects </w:t>
      </w:r>
      <w:r w:rsidR="00200D97">
        <w:rPr>
          <w:rFonts w:asciiTheme="majorHAnsi" w:eastAsia="Times New Roman" w:hAnsiTheme="majorHAnsi" w:cstheme="minorHAnsi"/>
          <w:lang w:eastAsia="en-GB"/>
        </w:rPr>
        <w:t>do more than</w:t>
      </w:r>
      <w:r w:rsidRPr="00773854">
        <w:rPr>
          <w:rFonts w:asciiTheme="majorHAnsi" w:eastAsia="Times New Roman" w:hAnsiTheme="majorHAnsi" w:cstheme="minorHAnsi"/>
          <w:lang w:eastAsia="en-GB"/>
        </w:rPr>
        <w:t xml:space="preserve"> add to the economy’s capital stock and mobilize idle saving</w:t>
      </w:r>
      <w:r w:rsidR="00951C35">
        <w:rPr>
          <w:rFonts w:asciiTheme="majorHAnsi" w:eastAsia="Times New Roman" w:hAnsiTheme="majorHAnsi" w:cstheme="minorHAnsi"/>
          <w:lang w:eastAsia="en-GB"/>
        </w:rPr>
        <w:t>:</w:t>
      </w:r>
      <w:r w:rsidRPr="00773854">
        <w:rPr>
          <w:rFonts w:asciiTheme="majorHAnsi" w:eastAsia="Times New Roman" w:hAnsiTheme="majorHAnsi" w:cstheme="minorHAnsi"/>
          <w:lang w:eastAsia="en-GB"/>
        </w:rPr>
        <w:t xml:space="preserve"> </w:t>
      </w:r>
      <w:r w:rsidR="00951C35">
        <w:rPr>
          <w:rFonts w:asciiTheme="majorHAnsi" w:eastAsia="Times New Roman" w:hAnsiTheme="majorHAnsi" w:cstheme="minorHAnsi"/>
          <w:lang w:eastAsia="en-GB"/>
        </w:rPr>
        <w:t>t</w:t>
      </w:r>
      <w:r w:rsidR="00951C35" w:rsidRPr="00773854">
        <w:rPr>
          <w:rFonts w:asciiTheme="majorHAnsi" w:eastAsia="Times New Roman" w:hAnsiTheme="majorHAnsi" w:cstheme="minorHAnsi"/>
          <w:lang w:eastAsia="en-GB"/>
        </w:rPr>
        <w:t>he</w:t>
      </w:r>
      <w:r w:rsidR="00951C35">
        <w:rPr>
          <w:rFonts w:asciiTheme="majorHAnsi" w:eastAsia="Times New Roman" w:hAnsiTheme="majorHAnsi" w:cstheme="minorHAnsi"/>
          <w:lang w:eastAsia="en-GB"/>
        </w:rPr>
        <w:t xml:space="preserve">y </w:t>
      </w:r>
      <w:r w:rsidR="001C519B" w:rsidRPr="00773854">
        <w:rPr>
          <w:rFonts w:asciiTheme="majorHAnsi" w:eastAsia="Times New Roman" w:hAnsiTheme="majorHAnsi" w:cstheme="minorHAnsi"/>
          <w:lang w:eastAsia="en-GB"/>
        </w:rPr>
        <w:t xml:space="preserve">have long been defined as priority areas for long-term sustainable growth in Europe. These investment projects would contribute to </w:t>
      </w:r>
      <w:r w:rsidR="00951C35">
        <w:rPr>
          <w:rFonts w:asciiTheme="majorHAnsi" w:eastAsia="Times New Roman" w:hAnsiTheme="majorHAnsi" w:cstheme="minorHAnsi"/>
          <w:lang w:eastAsia="en-GB"/>
        </w:rPr>
        <w:t>the “</w:t>
      </w:r>
      <w:r w:rsidR="001C519B" w:rsidRPr="00773854">
        <w:rPr>
          <w:rFonts w:asciiTheme="majorHAnsi" w:eastAsia="Times New Roman" w:hAnsiTheme="majorHAnsi" w:cstheme="minorHAnsi"/>
          <w:lang w:eastAsia="en-GB"/>
        </w:rPr>
        <w:t>energy</w:t>
      </w:r>
      <w:r w:rsidR="00951C35">
        <w:rPr>
          <w:rFonts w:asciiTheme="majorHAnsi" w:eastAsia="Times New Roman" w:hAnsiTheme="majorHAnsi" w:cstheme="minorHAnsi"/>
          <w:lang w:eastAsia="en-GB"/>
        </w:rPr>
        <w:t xml:space="preserve"> union”</w:t>
      </w:r>
      <w:r w:rsidR="001C519B" w:rsidRPr="00773854">
        <w:rPr>
          <w:rFonts w:asciiTheme="majorHAnsi" w:eastAsia="Times New Roman" w:hAnsiTheme="majorHAnsi" w:cstheme="minorHAnsi"/>
          <w:lang w:eastAsia="en-GB"/>
        </w:rPr>
        <w:t xml:space="preserve"> </w:t>
      </w:r>
      <w:r w:rsidR="00951C35">
        <w:rPr>
          <w:rFonts w:asciiTheme="majorHAnsi" w:eastAsia="Times New Roman" w:hAnsiTheme="majorHAnsi" w:cstheme="minorHAnsi"/>
          <w:lang w:eastAsia="en-GB"/>
        </w:rPr>
        <w:t xml:space="preserve">(energy </w:t>
      </w:r>
      <w:r w:rsidR="001C519B" w:rsidRPr="00773854">
        <w:rPr>
          <w:rFonts w:asciiTheme="majorHAnsi" w:eastAsia="Times New Roman" w:hAnsiTheme="majorHAnsi" w:cstheme="minorHAnsi"/>
          <w:lang w:eastAsia="en-GB"/>
        </w:rPr>
        <w:t>interconnectedness, independence and security</w:t>
      </w:r>
      <w:r w:rsidR="00951C35">
        <w:rPr>
          <w:rFonts w:asciiTheme="majorHAnsi" w:eastAsia="Times New Roman" w:hAnsiTheme="majorHAnsi" w:cstheme="minorHAnsi"/>
          <w:lang w:eastAsia="en-GB"/>
        </w:rPr>
        <w:t>)</w:t>
      </w:r>
      <w:r w:rsidR="001C519B" w:rsidRPr="00773854">
        <w:rPr>
          <w:rFonts w:asciiTheme="majorHAnsi" w:eastAsia="Times New Roman" w:hAnsiTheme="majorHAnsi" w:cstheme="minorHAnsi"/>
          <w:lang w:eastAsia="en-GB"/>
        </w:rPr>
        <w:t>, reduction of carbon emissions</w:t>
      </w:r>
      <w:r w:rsidR="00AC3348">
        <w:rPr>
          <w:rFonts w:asciiTheme="majorHAnsi" w:eastAsia="Times New Roman" w:hAnsiTheme="majorHAnsi" w:cstheme="minorHAnsi"/>
          <w:lang w:eastAsia="en-GB"/>
        </w:rPr>
        <w:t xml:space="preserve"> and other </w:t>
      </w:r>
      <w:r w:rsidR="00836576">
        <w:rPr>
          <w:rFonts w:asciiTheme="majorHAnsi" w:eastAsia="Times New Roman" w:hAnsiTheme="majorHAnsi" w:cstheme="minorHAnsi"/>
          <w:lang w:eastAsia="en-GB"/>
        </w:rPr>
        <w:t>pollution</w:t>
      </w:r>
      <w:r w:rsidR="001C519B" w:rsidRPr="00773854">
        <w:rPr>
          <w:rFonts w:asciiTheme="majorHAnsi" w:eastAsia="Times New Roman" w:hAnsiTheme="majorHAnsi" w:cstheme="minorHAnsi"/>
          <w:lang w:eastAsia="en-GB"/>
        </w:rPr>
        <w:t xml:space="preserve">, </w:t>
      </w:r>
      <w:r w:rsidR="00836576">
        <w:rPr>
          <w:rStyle w:val="hps"/>
          <w:lang w:val="en"/>
        </w:rPr>
        <w:t>strengthening</w:t>
      </w:r>
      <w:r w:rsidR="00836576">
        <w:rPr>
          <w:rStyle w:val="shorttext"/>
          <w:lang w:val="en"/>
        </w:rPr>
        <w:t xml:space="preserve"> </w:t>
      </w:r>
      <w:r w:rsidR="00836576">
        <w:rPr>
          <w:rStyle w:val="hps"/>
          <w:lang w:val="en"/>
        </w:rPr>
        <w:t xml:space="preserve">territorial cohesion, </w:t>
      </w:r>
      <w:r w:rsidR="001C519B" w:rsidRPr="00773854">
        <w:rPr>
          <w:rFonts w:asciiTheme="majorHAnsi" w:eastAsia="Times New Roman" w:hAnsiTheme="majorHAnsi" w:cstheme="minorHAnsi"/>
          <w:lang w:eastAsia="en-GB"/>
        </w:rPr>
        <w:t xml:space="preserve">promotion of trade, investment and mobility among Member States, and shifting Europe towards digital union and </w:t>
      </w:r>
      <w:r w:rsidR="00951C35">
        <w:rPr>
          <w:rFonts w:asciiTheme="majorHAnsi" w:eastAsia="Times New Roman" w:hAnsiTheme="majorHAnsi" w:cstheme="minorHAnsi"/>
          <w:lang w:eastAsia="en-GB"/>
        </w:rPr>
        <w:t xml:space="preserve">a </w:t>
      </w:r>
      <w:r w:rsidR="001C519B" w:rsidRPr="00773854">
        <w:rPr>
          <w:rFonts w:asciiTheme="majorHAnsi" w:eastAsia="Times New Roman" w:hAnsiTheme="majorHAnsi" w:cstheme="minorHAnsi"/>
          <w:lang w:eastAsia="en-GB"/>
        </w:rPr>
        <w:t>knowledge-based model of growth.</w:t>
      </w:r>
      <w:r w:rsidR="00901848">
        <w:rPr>
          <w:rFonts w:asciiTheme="majorHAnsi" w:eastAsia="Times New Roman" w:hAnsiTheme="majorHAnsi" w:cstheme="minorHAnsi"/>
          <w:lang w:eastAsia="en-GB"/>
        </w:rPr>
        <w:t xml:space="preserve"> </w:t>
      </w:r>
    </w:p>
    <w:p w:rsidR="009D3C65" w:rsidRDefault="008674C7" w:rsidP="008674C7">
      <w:pPr>
        <w:spacing w:before="360"/>
        <w:jc w:val="both"/>
        <w:rPr>
          <w:rFonts w:asciiTheme="majorHAnsi" w:eastAsia="Times New Roman" w:hAnsiTheme="majorHAnsi" w:cstheme="minorHAnsi"/>
          <w:lang w:eastAsia="en-GB"/>
        </w:rPr>
      </w:pPr>
      <w:r>
        <w:rPr>
          <w:rFonts w:asciiTheme="majorHAnsi" w:eastAsia="Times New Roman" w:hAnsiTheme="majorHAnsi" w:cstheme="minorHAnsi"/>
          <w:i/>
          <w:lang w:eastAsia="en-GB"/>
        </w:rPr>
        <w:t xml:space="preserve">Supporting role of the EFI to SMEs’ financing </w:t>
      </w:r>
    </w:p>
    <w:p w:rsidR="009D3C65" w:rsidRPr="008674C7" w:rsidRDefault="008674C7" w:rsidP="009D3C65">
      <w:pPr>
        <w:spacing w:before="120"/>
        <w:jc w:val="both"/>
        <w:rPr>
          <w:rFonts w:asciiTheme="majorHAnsi" w:eastAsia="Times New Roman" w:hAnsiTheme="majorHAnsi" w:cstheme="minorHAnsi"/>
          <w:lang w:val="en-GB" w:eastAsia="en-GB"/>
        </w:rPr>
      </w:pPr>
      <w:r>
        <w:rPr>
          <w:rFonts w:asciiTheme="majorHAnsi" w:eastAsia="Times New Roman" w:hAnsiTheme="majorHAnsi" w:cstheme="minorHAnsi"/>
          <w:lang w:val="en-GB" w:eastAsia="en-GB"/>
        </w:rPr>
        <w:t xml:space="preserve">Part of </w:t>
      </w:r>
      <w:r w:rsidR="007465B3">
        <w:rPr>
          <w:rFonts w:asciiTheme="majorHAnsi" w:eastAsia="Times New Roman" w:hAnsiTheme="majorHAnsi" w:cstheme="minorHAnsi"/>
          <w:lang w:val="en-GB" w:eastAsia="en-GB"/>
        </w:rPr>
        <w:t xml:space="preserve">the </w:t>
      </w:r>
      <w:r>
        <w:rPr>
          <w:rFonts w:asciiTheme="majorHAnsi" w:eastAsia="Times New Roman" w:hAnsiTheme="majorHAnsi" w:cstheme="minorHAnsi"/>
          <w:lang w:val="en-GB" w:eastAsia="en-GB"/>
        </w:rPr>
        <w:t xml:space="preserve">EFI’s funds could be </w:t>
      </w:r>
      <w:r w:rsidR="009D3C65" w:rsidRPr="008674C7">
        <w:rPr>
          <w:rFonts w:asciiTheme="majorHAnsi" w:eastAsia="Times New Roman" w:hAnsiTheme="majorHAnsi" w:cstheme="minorHAnsi"/>
          <w:lang w:val="en-GB" w:eastAsia="en-GB"/>
        </w:rPr>
        <w:t>invest</w:t>
      </w:r>
      <w:r>
        <w:rPr>
          <w:rFonts w:asciiTheme="majorHAnsi" w:eastAsia="Times New Roman" w:hAnsiTheme="majorHAnsi" w:cstheme="minorHAnsi"/>
          <w:lang w:val="en-GB" w:eastAsia="en-GB"/>
        </w:rPr>
        <w:t>ed</w:t>
      </w:r>
      <w:r w:rsidR="009D3C65" w:rsidRPr="008674C7">
        <w:rPr>
          <w:rFonts w:asciiTheme="majorHAnsi" w:eastAsia="Times New Roman" w:hAnsiTheme="majorHAnsi" w:cstheme="minorHAnsi"/>
          <w:lang w:val="en-GB" w:eastAsia="en-GB"/>
        </w:rPr>
        <w:t xml:space="preserve"> in revolving instruments such as venture capital, loan or guarantee funds.</w:t>
      </w:r>
      <w:r>
        <w:rPr>
          <w:rFonts w:asciiTheme="majorHAnsi" w:eastAsia="Times New Roman" w:hAnsiTheme="majorHAnsi" w:cstheme="minorHAnsi"/>
          <w:lang w:val="en-GB" w:eastAsia="en-GB"/>
        </w:rPr>
        <w:t xml:space="preserve"> </w:t>
      </w:r>
      <w:r>
        <w:rPr>
          <w:rFonts w:asciiTheme="majorHAnsi" w:eastAsia="Times New Roman" w:hAnsiTheme="majorHAnsi" w:cstheme="minorHAnsi"/>
          <w:lang w:eastAsia="en-GB"/>
        </w:rPr>
        <w:t xml:space="preserve">Thus the EFI could </w:t>
      </w:r>
      <w:r w:rsidR="0094506E">
        <w:rPr>
          <w:rFonts w:asciiTheme="majorHAnsi" w:eastAsia="Times New Roman" w:hAnsiTheme="majorHAnsi" w:cstheme="minorHAnsi"/>
          <w:lang w:eastAsia="en-GB"/>
        </w:rPr>
        <w:t xml:space="preserve">provide equity contribution to </w:t>
      </w:r>
      <w:r>
        <w:rPr>
          <w:rFonts w:asciiTheme="majorHAnsi" w:eastAsia="Times New Roman" w:hAnsiTheme="majorHAnsi" w:cstheme="minorHAnsi"/>
          <w:lang w:eastAsia="en-GB"/>
        </w:rPr>
        <w:t xml:space="preserve"> </w:t>
      </w:r>
      <w:r w:rsidRPr="009D3C65">
        <w:rPr>
          <w:rFonts w:asciiTheme="majorHAnsi" w:eastAsia="Times New Roman" w:hAnsiTheme="majorHAnsi" w:cstheme="minorHAnsi"/>
          <w:lang w:eastAsia="en-GB"/>
        </w:rPr>
        <w:t xml:space="preserve">financial instruments to </w:t>
      </w:r>
      <w:r w:rsidRPr="009E236E">
        <w:rPr>
          <w:rFonts w:asciiTheme="majorHAnsi" w:eastAsia="Times New Roman" w:hAnsiTheme="majorHAnsi" w:cstheme="minorHAnsi"/>
          <w:lang w:val="en-GB" w:eastAsia="en-GB"/>
        </w:rPr>
        <w:t>directly support</w:t>
      </w:r>
      <w:r>
        <w:rPr>
          <w:rFonts w:asciiTheme="majorHAnsi" w:eastAsia="Times New Roman" w:hAnsiTheme="majorHAnsi" w:cstheme="minorHAnsi"/>
          <w:lang w:val="en-GB" w:eastAsia="en-GB"/>
        </w:rPr>
        <w:t xml:space="preserve"> </w:t>
      </w:r>
      <w:r w:rsidRPr="009E236E">
        <w:rPr>
          <w:rFonts w:asciiTheme="majorHAnsi" w:eastAsia="Times New Roman" w:hAnsiTheme="majorHAnsi" w:cstheme="minorHAnsi"/>
          <w:lang w:val="en-GB" w:eastAsia="en-GB"/>
        </w:rPr>
        <w:t xml:space="preserve">access to investment capital by </w:t>
      </w:r>
      <w:r w:rsidRPr="009D3C65">
        <w:rPr>
          <w:rFonts w:asciiTheme="majorHAnsi" w:eastAsia="Times New Roman" w:hAnsiTheme="majorHAnsi" w:cstheme="minorHAnsi"/>
          <w:lang w:eastAsia="en-GB"/>
        </w:rPr>
        <w:t>SMEs</w:t>
      </w:r>
      <w:r w:rsidR="0094506E">
        <w:rPr>
          <w:rFonts w:asciiTheme="majorHAnsi" w:eastAsia="Times New Roman" w:hAnsiTheme="majorHAnsi" w:cstheme="minorHAnsi"/>
          <w:lang w:eastAsia="en-GB"/>
        </w:rPr>
        <w:t xml:space="preserve"> and start-ups</w:t>
      </w:r>
      <w:r w:rsidRPr="009D3C65">
        <w:rPr>
          <w:rFonts w:asciiTheme="majorHAnsi" w:eastAsia="Times New Roman" w:hAnsiTheme="majorHAnsi" w:cstheme="minorHAnsi"/>
          <w:lang w:eastAsia="en-GB"/>
        </w:rPr>
        <w:t>.</w:t>
      </w:r>
    </w:p>
    <w:p w:rsidR="005F4D92" w:rsidRDefault="005F4D92" w:rsidP="00150C8A">
      <w:pPr>
        <w:spacing w:before="360"/>
        <w:jc w:val="both"/>
        <w:rPr>
          <w:rFonts w:asciiTheme="majorHAnsi" w:eastAsia="Times New Roman" w:hAnsiTheme="majorHAnsi" w:cstheme="minorHAnsi"/>
          <w:i/>
          <w:lang w:eastAsia="en-GB"/>
        </w:rPr>
      </w:pPr>
    </w:p>
    <w:p w:rsidR="00FC6D81" w:rsidRPr="00150C8A" w:rsidRDefault="00FC6D81" w:rsidP="00150C8A">
      <w:pPr>
        <w:spacing w:before="360"/>
        <w:jc w:val="both"/>
        <w:rPr>
          <w:rFonts w:asciiTheme="majorHAnsi" w:eastAsia="Times New Roman" w:hAnsiTheme="majorHAnsi" w:cstheme="minorHAnsi"/>
          <w:i/>
          <w:lang w:eastAsia="en-GB"/>
        </w:rPr>
      </w:pPr>
      <w:bookmarkStart w:id="0" w:name="_GoBack"/>
      <w:bookmarkEnd w:id="0"/>
      <w:r w:rsidRPr="00150C8A">
        <w:rPr>
          <w:rFonts w:asciiTheme="majorHAnsi" w:eastAsia="Times New Roman" w:hAnsiTheme="majorHAnsi" w:cstheme="minorHAnsi"/>
          <w:i/>
          <w:lang w:eastAsia="en-GB"/>
        </w:rPr>
        <w:lastRenderedPageBreak/>
        <w:t xml:space="preserve">Structural reforms </w:t>
      </w:r>
      <w:r w:rsidR="00BD3F7E" w:rsidRPr="00150C8A">
        <w:rPr>
          <w:rFonts w:asciiTheme="majorHAnsi" w:eastAsia="Times New Roman" w:hAnsiTheme="majorHAnsi" w:cstheme="minorHAnsi"/>
          <w:i/>
          <w:lang w:eastAsia="en-GB"/>
        </w:rPr>
        <w:t xml:space="preserve">to </w:t>
      </w:r>
      <w:r w:rsidR="005B3B3D" w:rsidRPr="00150C8A">
        <w:rPr>
          <w:rFonts w:asciiTheme="majorHAnsi" w:eastAsia="Times New Roman" w:hAnsiTheme="majorHAnsi" w:cstheme="minorHAnsi"/>
          <w:i/>
          <w:lang w:eastAsia="en-GB"/>
        </w:rPr>
        <w:t xml:space="preserve">underpin </w:t>
      </w:r>
      <w:r w:rsidR="00BD3F7E" w:rsidRPr="00150C8A">
        <w:rPr>
          <w:rFonts w:asciiTheme="majorHAnsi" w:eastAsia="Times New Roman" w:hAnsiTheme="majorHAnsi" w:cstheme="minorHAnsi"/>
          <w:i/>
          <w:lang w:eastAsia="en-GB"/>
        </w:rPr>
        <w:t>the scheme</w:t>
      </w:r>
    </w:p>
    <w:p w:rsidR="004C144C" w:rsidRDefault="00951C35" w:rsidP="00205EC9">
      <w:pPr>
        <w:spacing w:before="120"/>
        <w:jc w:val="both"/>
        <w:rPr>
          <w:rFonts w:asciiTheme="majorHAnsi" w:hAnsiTheme="majorHAnsi"/>
        </w:rPr>
      </w:pPr>
      <w:r>
        <w:rPr>
          <w:rFonts w:asciiTheme="majorHAnsi" w:hAnsiTheme="majorHAnsi"/>
        </w:rPr>
        <w:t>Creating a growth-</w:t>
      </w:r>
      <w:r w:rsidR="007F2E4A">
        <w:rPr>
          <w:rFonts w:asciiTheme="majorHAnsi" w:hAnsiTheme="majorHAnsi"/>
        </w:rPr>
        <w:t xml:space="preserve">friendly environment </w:t>
      </w:r>
      <w:r>
        <w:rPr>
          <w:rFonts w:asciiTheme="majorHAnsi" w:hAnsiTheme="majorHAnsi"/>
        </w:rPr>
        <w:t>requires structural reform</w:t>
      </w:r>
      <w:r w:rsidR="008210FE">
        <w:rPr>
          <w:rFonts w:asciiTheme="majorHAnsi" w:hAnsiTheme="majorHAnsi"/>
        </w:rPr>
        <w:t>s</w:t>
      </w:r>
      <w:r w:rsidR="008210FE" w:rsidRPr="008210FE">
        <w:rPr>
          <w:rFonts w:asciiTheme="majorHAnsi" w:hAnsiTheme="majorHAnsi"/>
        </w:rPr>
        <w:t xml:space="preserve"> </w:t>
      </w:r>
      <w:r w:rsidR="008210FE">
        <w:rPr>
          <w:rFonts w:asciiTheme="majorHAnsi" w:hAnsiTheme="majorHAnsi"/>
        </w:rPr>
        <w:t>in the long term</w:t>
      </w:r>
      <w:r>
        <w:rPr>
          <w:rFonts w:asciiTheme="majorHAnsi" w:hAnsiTheme="majorHAnsi"/>
        </w:rPr>
        <w:t xml:space="preserve">.  </w:t>
      </w:r>
      <w:r w:rsidR="00C50EBF" w:rsidRPr="00DD2337">
        <w:rPr>
          <w:rFonts w:asciiTheme="majorHAnsi" w:hAnsiTheme="majorHAnsi"/>
        </w:rPr>
        <w:t>EFI</w:t>
      </w:r>
      <w:r w:rsidR="00687D8B">
        <w:rPr>
          <w:rFonts w:asciiTheme="majorHAnsi" w:hAnsiTheme="majorHAnsi"/>
        </w:rPr>
        <w:t>’s</w:t>
      </w:r>
      <w:r w:rsidR="00C50EBF" w:rsidRPr="00DD2337">
        <w:rPr>
          <w:rFonts w:asciiTheme="majorHAnsi" w:hAnsiTheme="majorHAnsi"/>
        </w:rPr>
        <w:t xml:space="preserve"> </w:t>
      </w:r>
      <w:r w:rsidR="00E34D00">
        <w:rPr>
          <w:rFonts w:asciiTheme="majorHAnsi" w:hAnsiTheme="majorHAnsi"/>
        </w:rPr>
        <w:t>i</w:t>
      </w:r>
      <w:r>
        <w:rPr>
          <w:rFonts w:asciiTheme="majorHAnsi" w:hAnsiTheme="majorHAnsi"/>
        </w:rPr>
        <w:t xml:space="preserve">nvolvement </w:t>
      </w:r>
      <w:r w:rsidR="00687D8B">
        <w:rPr>
          <w:rFonts w:asciiTheme="majorHAnsi" w:hAnsiTheme="majorHAnsi"/>
        </w:rPr>
        <w:t xml:space="preserve">in a project </w:t>
      </w:r>
      <w:r w:rsidR="00E34D00">
        <w:rPr>
          <w:rFonts w:asciiTheme="majorHAnsi" w:hAnsiTheme="majorHAnsi"/>
        </w:rPr>
        <w:t>could</w:t>
      </w:r>
      <w:r w:rsidR="00E34D00" w:rsidRPr="00DD2337">
        <w:rPr>
          <w:rFonts w:asciiTheme="majorHAnsi" w:hAnsiTheme="majorHAnsi"/>
        </w:rPr>
        <w:t xml:space="preserve"> </w:t>
      </w:r>
      <w:r w:rsidR="00E34D00">
        <w:rPr>
          <w:rFonts w:asciiTheme="majorHAnsi" w:hAnsiTheme="majorHAnsi"/>
        </w:rPr>
        <w:t>be</w:t>
      </w:r>
      <w:r w:rsidR="007F2E4A">
        <w:rPr>
          <w:rFonts w:asciiTheme="majorHAnsi" w:hAnsiTheme="majorHAnsi"/>
        </w:rPr>
        <w:t xml:space="preserve"> </w:t>
      </w:r>
      <w:r w:rsidR="00E34D00">
        <w:rPr>
          <w:rFonts w:asciiTheme="majorHAnsi" w:hAnsiTheme="majorHAnsi"/>
        </w:rPr>
        <w:t xml:space="preserve">made </w:t>
      </w:r>
      <w:r w:rsidR="00E34D00" w:rsidRPr="00DD2337">
        <w:rPr>
          <w:rFonts w:asciiTheme="majorHAnsi" w:hAnsiTheme="majorHAnsi"/>
        </w:rPr>
        <w:t>conditional</w:t>
      </w:r>
      <w:r w:rsidR="00E34D00">
        <w:rPr>
          <w:rFonts w:asciiTheme="majorHAnsi" w:hAnsiTheme="majorHAnsi"/>
        </w:rPr>
        <w:t xml:space="preserve"> on </w:t>
      </w:r>
      <w:r w:rsidR="00687D8B">
        <w:rPr>
          <w:rFonts w:asciiTheme="majorHAnsi" w:hAnsiTheme="majorHAnsi"/>
        </w:rPr>
        <w:t>commitment of a</w:t>
      </w:r>
      <w:r w:rsidR="0094506E">
        <w:rPr>
          <w:rFonts w:asciiTheme="majorHAnsi" w:hAnsiTheme="majorHAnsi"/>
        </w:rPr>
        <w:t xml:space="preserve"> host</w:t>
      </w:r>
      <w:r w:rsidR="005E48D3">
        <w:rPr>
          <w:rFonts w:asciiTheme="majorHAnsi" w:hAnsiTheme="majorHAnsi"/>
        </w:rPr>
        <w:t xml:space="preserve"> </w:t>
      </w:r>
      <w:r w:rsidR="00687D8B">
        <w:rPr>
          <w:rFonts w:asciiTheme="majorHAnsi" w:hAnsiTheme="majorHAnsi"/>
        </w:rPr>
        <w:t xml:space="preserve">Member State to </w:t>
      </w:r>
      <w:r>
        <w:rPr>
          <w:rFonts w:asciiTheme="majorHAnsi" w:hAnsiTheme="majorHAnsi"/>
        </w:rPr>
        <w:t>such</w:t>
      </w:r>
      <w:r w:rsidRPr="00DD2337">
        <w:rPr>
          <w:rFonts w:asciiTheme="majorHAnsi" w:hAnsiTheme="majorHAnsi"/>
        </w:rPr>
        <w:t xml:space="preserve"> re</w:t>
      </w:r>
      <w:r w:rsidR="00E34D00">
        <w:rPr>
          <w:rFonts w:asciiTheme="majorHAnsi" w:hAnsiTheme="majorHAnsi"/>
        </w:rPr>
        <w:t xml:space="preserve">form. </w:t>
      </w:r>
      <w:r w:rsidR="004C144C">
        <w:rPr>
          <w:rFonts w:asciiTheme="majorHAnsi" w:hAnsiTheme="majorHAnsi"/>
        </w:rPr>
        <w:t>Such conditionality</w:t>
      </w:r>
      <w:r w:rsidR="00C50EBF">
        <w:rPr>
          <w:rFonts w:asciiTheme="majorHAnsi" w:hAnsiTheme="majorHAnsi"/>
        </w:rPr>
        <w:t xml:space="preserve"> could be</w:t>
      </w:r>
      <w:r w:rsidR="004C144C">
        <w:rPr>
          <w:rFonts w:asciiTheme="majorHAnsi" w:hAnsiTheme="majorHAnsi"/>
        </w:rPr>
        <w:t xml:space="preserve"> modelled on that currently attaching to international financial institutions</w:t>
      </w:r>
      <w:r w:rsidR="00A64F4F">
        <w:rPr>
          <w:rFonts w:asciiTheme="majorHAnsi" w:hAnsiTheme="majorHAnsi"/>
        </w:rPr>
        <w:t xml:space="preserve"> and mechanisms already applied by the EU, such as </w:t>
      </w:r>
      <w:r w:rsidR="004C144C">
        <w:rPr>
          <w:rFonts w:asciiTheme="majorHAnsi" w:hAnsiTheme="majorHAnsi"/>
        </w:rPr>
        <w:t>Country Specific Recommendations</w:t>
      </w:r>
      <w:r w:rsidR="00C50EBF">
        <w:rPr>
          <w:rFonts w:asciiTheme="majorHAnsi" w:hAnsiTheme="majorHAnsi"/>
        </w:rPr>
        <w:t xml:space="preserve">, issued annually to </w:t>
      </w:r>
      <w:r w:rsidR="00687D8B">
        <w:rPr>
          <w:rFonts w:asciiTheme="majorHAnsi" w:hAnsiTheme="majorHAnsi"/>
        </w:rPr>
        <w:t>each Member State</w:t>
      </w:r>
      <w:r w:rsidR="00A64F4F">
        <w:rPr>
          <w:rFonts w:asciiTheme="majorHAnsi" w:hAnsiTheme="majorHAnsi"/>
        </w:rPr>
        <w:t xml:space="preserve"> under the European Semester</w:t>
      </w:r>
      <w:r w:rsidR="00C50EBF">
        <w:rPr>
          <w:rFonts w:asciiTheme="majorHAnsi" w:hAnsiTheme="majorHAnsi"/>
        </w:rPr>
        <w:t>, could be a source of such commitments</w:t>
      </w:r>
      <w:r w:rsidR="004C144C">
        <w:rPr>
          <w:rFonts w:asciiTheme="majorHAnsi" w:hAnsiTheme="majorHAnsi"/>
        </w:rPr>
        <w:t xml:space="preserve">. </w:t>
      </w:r>
      <w:r w:rsidR="004C144C" w:rsidRPr="00DD2337">
        <w:rPr>
          <w:rFonts w:asciiTheme="majorHAnsi" w:hAnsiTheme="majorHAnsi"/>
          <w:lang w:val="en"/>
        </w:rPr>
        <w:t xml:space="preserve">For example, energy market </w:t>
      </w:r>
      <w:r w:rsidR="00A64F4F">
        <w:rPr>
          <w:rFonts w:asciiTheme="majorHAnsi" w:hAnsiTheme="majorHAnsi"/>
          <w:lang w:val="en"/>
        </w:rPr>
        <w:t xml:space="preserve">liberalisation </w:t>
      </w:r>
      <w:r w:rsidR="004C144C">
        <w:rPr>
          <w:rFonts w:asciiTheme="majorHAnsi" w:hAnsiTheme="majorHAnsi"/>
          <w:lang w:val="en"/>
        </w:rPr>
        <w:t xml:space="preserve">within a Member State could be made a prerequisite for </w:t>
      </w:r>
      <w:r w:rsidR="004C144C" w:rsidRPr="00DD2337">
        <w:rPr>
          <w:rFonts w:asciiTheme="majorHAnsi" w:hAnsiTheme="majorHAnsi"/>
          <w:lang w:val="en"/>
        </w:rPr>
        <w:t>EFI investment in this sector.</w:t>
      </w:r>
      <w:r w:rsidR="00E34D00">
        <w:rPr>
          <w:rFonts w:asciiTheme="majorHAnsi" w:hAnsiTheme="majorHAnsi"/>
        </w:rPr>
        <w:t xml:space="preserve"> </w:t>
      </w:r>
    </w:p>
    <w:p w:rsidR="00901848" w:rsidRPr="00DD2337" w:rsidRDefault="004C144C" w:rsidP="00205EC9">
      <w:pPr>
        <w:spacing w:before="120"/>
        <w:jc w:val="both"/>
        <w:rPr>
          <w:rFonts w:asciiTheme="majorHAnsi" w:hAnsiTheme="majorHAnsi"/>
        </w:rPr>
      </w:pPr>
      <w:r>
        <w:rPr>
          <w:rFonts w:asciiTheme="majorHAnsi" w:hAnsiTheme="majorHAnsi"/>
        </w:rPr>
        <w:t>Similarly</w:t>
      </w:r>
      <w:r w:rsidRPr="00DD2337">
        <w:rPr>
          <w:rFonts w:asciiTheme="majorHAnsi" w:hAnsiTheme="majorHAnsi"/>
        </w:rPr>
        <w:t xml:space="preserve">, </w:t>
      </w:r>
      <w:r w:rsidR="00E34D00">
        <w:rPr>
          <w:rFonts w:asciiTheme="majorHAnsi" w:hAnsiTheme="majorHAnsi"/>
        </w:rPr>
        <w:t>s</w:t>
      </w:r>
      <w:r w:rsidR="00E34D00" w:rsidRPr="00DD2337">
        <w:rPr>
          <w:rFonts w:asciiTheme="majorHAnsi" w:hAnsiTheme="majorHAnsi"/>
        </w:rPr>
        <w:t xml:space="preserve">pecific </w:t>
      </w:r>
      <w:r w:rsidR="00901848" w:rsidRPr="00DD2337">
        <w:rPr>
          <w:rFonts w:asciiTheme="majorHAnsi" w:hAnsiTheme="majorHAnsi"/>
        </w:rPr>
        <w:t xml:space="preserve">projects </w:t>
      </w:r>
      <w:r w:rsidR="00E34D00">
        <w:rPr>
          <w:rFonts w:asciiTheme="majorHAnsi" w:hAnsiTheme="majorHAnsi"/>
        </w:rPr>
        <w:t>could target improvement of</w:t>
      </w:r>
      <w:r w:rsidR="00901848" w:rsidRPr="00DD2337">
        <w:rPr>
          <w:rFonts w:asciiTheme="majorHAnsi" w:hAnsiTheme="majorHAnsi"/>
        </w:rPr>
        <w:t xml:space="preserve"> structural features of the EU economy.</w:t>
      </w:r>
      <w:r>
        <w:rPr>
          <w:rFonts w:asciiTheme="majorHAnsi" w:hAnsiTheme="majorHAnsi"/>
        </w:rPr>
        <w:t xml:space="preserve"> For example,</w:t>
      </w:r>
      <w:r w:rsidR="00901848" w:rsidRPr="00DD2337">
        <w:rPr>
          <w:rFonts w:asciiTheme="majorHAnsi" w:hAnsiTheme="majorHAnsi"/>
        </w:rPr>
        <w:t xml:space="preserve"> </w:t>
      </w:r>
      <w:r w:rsidR="00E34D00" w:rsidRPr="00DD2337">
        <w:rPr>
          <w:rFonts w:asciiTheme="majorHAnsi" w:hAnsiTheme="majorHAnsi"/>
        </w:rPr>
        <w:t xml:space="preserve">investment in </w:t>
      </w:r>
      <w:r w:rsidR="00E34D00">
        <w:rPr>
          <w:rFonts w:asciiTheme="majorHAnsi" w:hAnsiTheme="majorHAnsi"/>
        </w:rPr>
        <w:t>cros</w:t>
      </w:r>
      <w:r w:rsidR="00E34D00" w:rsidRPr="00DD2337">
        <w:rPr>
          <w:rFonts w:asciiTheme="majorHAnsi" w:hAnsiTheme="majorHAnsi"/>
        </w:rPr>
        <w:t>s</w:t>
      </w:r>
      <w:r>
        <w:rPr>
          <w:rFonts w:asciiTheme="majorHAnsi" w:hAnsiTheme="majorHAnsi"/>
        </w:rPr>
        <w:t>-</w:t>
      </w:r>
      <w:r w:rsidR="00E34D00" w:rsidRPr="00DD2337">
        <w:rPr>
          <w:rFonts w:asciiTheme="majorHAnsi" w:hAnsiTheme="majorHAnsi"/>
        </w:rPr>
        <w:t>border energy interconnect</w:t>
      </w:r>
      <w:r>
        <w:rPr>
          <w:rFonts w:asciiTheme="majorHAnsi" w:hAnsiTheme="majorHAnsi"/>
        </w:rPr>
        <w:t>edness</w:t>
      </w:r>
      <w:r w:rsidR="00E34D00" w:rsidRPr="00DD2337">
        <w:rPr>
          <w:rFonts w:asciiTheme="majorHAnsi" w:hAnsiTheme="majorHAnsi"/>
        </w:rPr>
        <w:t xml:space="preserve"> would </w:t>
      </w:r>
      <w:r w:rsidR="00E34D00">
        <w:rPr>
          <w:rFonts w:asciiTheme="majorHAnsi" w:hAnsiTheme="majorHAnsi"/>
        </w:rPr>
        <w:t xml:space="preserve">help to </w:t>
      </w:r>
      <w:r>
        <w:rPr>
          <w:rFonts w:asciiTheme="majorHAnsi" w:hAnsiTheme="majorHAnsi"/>
        </w:rPr>
        <w:t>achieve</w:t>
      </w:r>
      <w:r w:rsidR="00E34D00" w:rsidRPr="00DD2337">
        <w:rPr>
          <w:rFonts w:asciiTheme="majorHAnsi" w:hAnsiTheme="majorHAnsi"/>
        </w:rPr>
        <w:t xml:space="preserve"> </w:t>
      </w:r>
      <w:r>
        <w:rPr>
          <w:rFonts w:asciiTheme="majorHAnsi" w:hAnsiTheme="majorHAnsi"/>
        </w:rPr>
        <w:t xml:space="preserve">the </w:t>
      </w:r>
      <w:r w:rsidR="00E34D00" w:rsidRPr="00DD2337">
        <w:rPr>
          <w:rFonts w:asciiTheme="majorHAnsi" w:hAnsiTheme="majorHAnsi"/>
        </w:rPr>
        <w:t xml:space="preserve">EU goals of energy union and </w:t>
      </w:r>
      <w:r w:rsidR="005E31B7">
        <w:rPr>
          <w:rFonts w:asciiTheme="majorHAnsi" w:hAnsiTheme="majorHAnsi"/>
        </w:rPr>
        <w:t xml:space="preserve">a </w:t>
      </w:r>
      <w:r>
        <w:rPr>
          <w:rFonts w:asciiTheme="majorHAnsi" w:hAnsiTheme="majorHAnsi"/>
        </w:rPr>
        <w:t xml:space="preserve">further </w:t>
      </w:r>
      <w:r w:rsidR="00E34D00" w:rsidRPr="00DD2337">
        <w:rPr>
          <w:rFonts w:asciiTheme="majorHAnsi" w:hAnsiTheme="majorHAnsi"/>
        </w:rPr>
        <w:t>deepen</w:t>
      </w:r>
      <w:r w:rsidR="005E31B7">
        <w:rPr>
          <w:rFonts w:asciiTheme="majorHAnsi" w:hAnsiTheme="majorHAnsi"/>
        </w:rPr>
        <w:t>ing of</w:t>
      </w:r>
      <w:r w:rsidR="00E34D00" w:rsidRPr="00DD2337">
        <w:rPr>
          <w:rFonts w:asciiTheme="majorHAnsi" w:hAnsiTheme="majorHAnsi"/>
        </w:rPr>
        <w:t xml:space="preserve"> the </w:t>
      </w:r>
      <w:r w:rsidR="00E34D00">
        <w:rPr>
          <w:rFonts w:asciiTheme="majorHAnsi" w:hAnsiTheme="majorHAnsi"/>
        </w:rPr>
        <w:t>S</w:t>
      </w:r>
      <w:r w:rsidR="00E34D00" w:rsidRPr="00DD2337">
        <w:rPr>
          <w:rFonts w:asciiTheme="majorHAnsi" w:hAnsiTheme="majorHAnsi"/>
        </w:rPr>
        <w:t xml:space="preserve">ingle </w:t>
      </w:r>
      <w:r w:rsidR="00E34D00">
        <w:rPr>
          <w:rFonts w:asciiTheme="majorHAnsi" w:hAnsiTheme="majorHAnsi"/>
        </w:rPr>
        <w:t>M</w:t>
      </w:r>
      <w:r w:rsidR="00E34D00" w:rsidRPr="00DD2337">
        <w:rPr>
          <w:rFonts w:asciiTheme="majorHAnsi" w:hAnsiTheme="majorHAnsi"/>
        </w:rPr>
        <w:t>arket</w:t>
      </w:r>
      <w:r w:rsidR="00E34D00" w:rsidRPr="00DD2337">
        <w:rPr>
          <w:rFonts w:asciiTheme="majorHAnsi" w:hAnsiTheme="majorHAnsi"/>
          <w:lang w:val="en"/>
        </w:rPr>
        <w:t xml:space="preserve">. </w:t>
      </w:r>
      <w:r>
        <w:rPr>
          <w:rFonts w:asciiTheme="majorHAnsi" w:hAnsiTheme="majorHAnsi"/>
        </w:rPr>
        <w:t>Likewise, improvements in</w:t>
      </w:r>
      <w:r w:rsidR="00901848" w:rsidRPr="00DD2337">
        <w:rPr>
          <w:rFonts w:asciiTheme="majorHAnsi" w:hAnsiTheme="majorHAnsi"/>
        </w:rPr>
        <w:t xml:space="preserve"> infrastructure would increase the supply side and </w:t>
      </w:r>
      <w:r w:rsidR="00E34D00">
        <w:rPr>
          <w:rFonts w:asciiTheme="majorHAnsi" w:hAnsiTheme="majorHAnsi"/>
        </w:rPr>
        <w:t>positively</w:t>
      </w:r>
      <w:r w:rsidR="00901848" w:rsidRPr="00DD2337">
        <w:rPr>
          <w:rFonts w:asciiTheme="majorHAnsi" w:hAnsiTheme="majorHAnsi"/>
        </w:rPr>
        <w:t xml:space="preserve"> influence long-</w:t>
      </w:r>
      <w:r w:rsidR="00E34D00">
        <w:rPr>
          <w:rFonts w:asciiTheme="majorHAnsi" w:hAnsiTheme="majorHAnsi"/>
        </w:rPr>
        <w:t>term</w:t>
      </w:r>
      <w:r w:rsidR="00E34D00" w:rsidRPr="00DD2337">
        <w:rPr>
          <w:rFonts w:asciiTheme="majorHAnsi" w:hAnsiTheme="majorHAnsi"/>
        </w:rPr>
        <w:t xml:space="preserve"> </w:t>
      </w:r>
      <w:r w:rsidR="00901848" w:rsidRPr="00DD2337">
        <w:rPr>
          <w:rFonts w:asciiTheme="majorHAnsi" w:hAnsiTheme="majorHAnsi"/>
        </w:rPr>
        <w:t xml:space="preserve">growth. </w:t>
      </w:r>
    </w:p>
    <w:p w:rsidR="00AF61BE" w:rsidRPr="00517CE3" w:rsidRDefault="00AF61BE" w:rsidP="00150C8A">
      <w:pPr>
        <w:spacing w:before="360"/>
        <w:jc w:val="both"/>
        <w:rPr>
          <w:rFonts w:asciiTheme="majorHAnsi" w:eastAsia="Times New Roman" w:hAnsiTheme="majorHAnsi" w:cstheme="minorHAnsi"/>
          <w:i/>
          <w:lang w:eastAsia="en-GB"/>
        </w:rPr>
      </w:pPr>
      <w:r w:rsidRPr="00517CE3">
        <w:rPr>
          <w:rFonts w:asciiTheme="majorHAnsi" w:eastAsia="Times New Roman" w:hAnsiTheme="majorHAnsi" w:cstheme="minorHAnsi"/>
          <w:i/>
          <w:lang w:eastAsia="en-GB"/>
        </w:rPr>
        <w:t>Institutional setup and financing</w:t>
      </w:r>
    </w:p>
    <w:p w:rsidR="00F412B6" w:rsidRPr="00245F82" w:rsidRDefault="002273C4" w:rsidP="00150C8A">
      <w:pPr>
        <w:spacing w:before="120"/>
        <w:jc w:val="both"/>
        <w:rPr>
          <w:lang w:val="en-GB"/>
        </w:rPr>
      </w:pPr>
      <w:r w:rsidRPr="00245F82">
        <w:rPr>
          <w:rFonts w:asciiTheme="majorHAnsi" w:hAnsiTheme="majorHAnsi"/>
          <w:lang w:val="en-GB"/>
        </w:rPr>
        <w:t xml:space="preserve">The </w:t>
      </w:r>
      <w:r w:rsidR="00E17E1D">
        <w:rPr>
          <w:rFonts w:asciiTheme="majorHAnsi" w:hAnsiTheme="majorHAnsi"/>
          <w:lang w:val="en-GB"/>
        </w:rPr>
        <w:t>precise</w:t>
      </w:r>
      <w:r w:rsidR="00F412B6" w:rsidRPr="00245F82">
        <w:rPr>
          <w:rFonts w:asciiTheme="majorHAnsi" w:hAnsiTheme="majorHAnsi"/>
          <w:lang w:val="en-GB"/>
        </w:rPr>
        <w:t xml:space="preserve"> </w:t>
      </w:r>
      <w:r w:rsidRPr="00245F82">
        <w:rPr>
          <w:rFonts w:asciiTheme="majorHAnsi" w:hAnsiTheme="majorHAnsi"/>
          <w:lang w:val="en-GB"/>
        </w:rPr>
        <w:t>institutional setup</w:t>
      </w:r>
      <w:r w:rsidR="00F412B6" w:rsidRPr="00245F82">
        <w:rPr>
          <w:rFonts w:asciiTheme="majorHAnsi" w:hAnsiTheme="majorHAnsi"/>
          <w:lang w:val="en-GB"/>
        </w:rPr>
        <w:t xml:space="preserve"> and governance rules</w:t>
      </w:r>
      <w:r w:rsidRPr="00245F82">
        <w:rPr>
          <w:rFonts w:asciiTheme="majorHAnsi" w:hAnsiTheme="majorHAnsi"/>
          <w:lang w:val="en-GB"/>
        </w:rPr>
        <w:t xml:space="preserve"> of </w:t>
      </w:r>
      <w:r w:rsidR="00E17E1D">
        <w:rPr>
          <w:rFonts w:asciiTheme="majorHAnsi" w:hAnsiTheme="majorHAnsi"/>
          <w:lang w:val="en-GB"/>
        </w:rPr>
        <w:t xml:space="preserve">the </w:t>
      </w:r>
      <w:r w:rsidRPr="00245F82">
        <w:rPr>
          <w:rFonts w:asciiTheme="majorHAnsi" w:hAnsiTheme="majorHAnsi"/>
          <w:lang w:val="en-GB"/>
        </w:rPr>
        <w:t xml:space="preserve">EFI is </w:t>
      </w:r>
      <w:r w:rsidR="00496568" w:rsidRPr="00245F82">
        <w:rPr>
          <w:rFonts w:asciiTheme="majorHAnsi" w:hAnsiTheme="majorHAnsi"/>
          <w:lang w:val="en-GB"/>
        </w:rPr>
        <w:t>crucial</w:t>
      </w:r>
      <w:r w:rsidR="00EC4CAD">
        <w:rPr>
          <w:rFonts w:asciiTheme="majorHAnsi" w:hAnsiTheme="majorHAnsi"/>
          <w:lang w:val="en-GB"/>
        </w:rPr>
        <w:t xml:space="preserve">. </w:t>
      </w:r>
      <w:r w:rsidR="00F412B6" w:rsidRPr="00245F82">
        <w:rPr>
          <w:rFonts w:asciiTheme="majorHAnsi" w:hAnsiTheme="majorHAnsi"/>
          <w:lang w:val="en-GB"/>
        </w:rPr>
        <w:t>The</w:t>
      </w:r>
      <w:r w:rsidR="00496568" w:rsidRPr="00245F82">
        <w:rPr>
          <w:rFonts w:asciiTheme="majorHAnsi" w:hAnsiTheme="majorHAnsi"/>
          <w:lang w:val="en-GB"/>
        </w:rPr>
        <w:t xml:space="preserve"> initial proposal is </w:t>
      </w:r>
      <w:r w:rsidR="000340CB">
        <w:rPr>
          <w:rFonts w:asciiTheme="majorHAnsi" w:eastAsia="Times New Roman" w:hAnsiTheme="majorHAnsi" w:cstheme="minorHAnsi"/>
          <w:lang w:eastAsia="en-GB"/>
        </w:rPr>
        <w:t>for</w:t>
      </w:r>
      <w:r w:rsidR="000340CB" w:rsidRPr="00517CE3">
        <w:rPr>
          <w:rFonts w:asciiTheme="majorHAnsi" w:eastAsia="Times New Roman" w:hAnsiTheme="majorHAnsi" w:cstheme="minorHAnsi"/>
          <w:lang w:eastAsia="en-GB"/>
        </w:rPr>
        <w:t xml:space="preserve"> </w:t>
      </w:r>
      <w:r w:rsidR="005C50F2" w:rsidRPr="00517CE3">
        <w:rPr>
          <w:rFonts w:asciiTheme="majorHAnsi" w:eastAsia="Times New Roman" w:hAnsiTheme="majorHAnsi" w:cstheme="minorHAnsi"/>
          <w:lang w:eastAsia="en-GB"/>
        </w:rPr>
        <w:t xml:space="preserve">the scheme </w:t>
      </w:r>
      <w:r w:rsidR="000340CB">
        <w:rPr>
          <w:rFonts w:asciiTheme="majorHAnsi" w:eastAsia="Times New Roman" w:hAnsiTheme="majorHAnsi" w:cstheme="minorHAnsi"/>
          <w:lang w:eastAsia="en-GB"/>
        </w:rPr>
        <w:t>to take</w:t>
      </w:r>
      <w:r w:rsidR="000340CB" w:rsidRPr="00517CE3">
        <w:rPr>
          <w:rFonts w:asciiTheme="majorHAnsi" w:eastAsia="Times New Roman" w:hAnsiTheme="majorHAnsi" w:cstheme="minorHAnsi"/>
          <w:lang w:eastAsia="en-GB"/>
        </w:rPr>
        <w:t xml:space="preserve"> </w:t>
      </w:r>
      <w:r w:rsidR="000340CB">
        <w:rPr>
          <w:rFonts w:asciiTheme="majorHAnsi" w:eastAsia="Times New Roman" w:hAnsiTheme="majorHAnsi" w:cstheme="minorHAnsi"/>
          <w:lang w:eastAsia="en-GB"/>
        </w:rPr>
        <w:t>the</w:t>
      </w:r>
      <w:r w:rsidR="000340CB" w:rsidRPr="00517CE3">
        <w:rPr>
          <w:rFonts w:asciiTheme="majorHAnsi" w:eastAsia="Times New Roman" w:hAnsiTheme="majorHAnsi" w:cstheme="minorHAnsi"/>
          <w:lang w:eastAsia="en-GB"/>
        </w:rPr>
        <w:t xml:space="preserve"> </w:t>
      </w:r>
      <w:r w:rsidR="005C50F2" w:rsidRPr="00517CE3">
        <w:rPr>
          <w:rFonts w:asciiTheme="majorHAnsi" w:eastAsia="Times New Roman" w:hAnsiTheme="majorHAnsi" w:cstheme="minorHAnsi"/>
          <w:lang w:eastAsia="en-GB"/>
        </w:rPr>
        <w:t xml:space="preserve">form of </w:t>
      </w:r>
      <w:r w:rsidR="00850FF3" w:rsidRPr="00517CE3">
        <w:rPr>
          <w:rFonts w:asciiTheme="majorHAnsi" w:eastAsia="Times New Roman" w:hAnsiTheme="majorHAnsi" w:cstheme="minorHAnsi"/>
          <w:lang w:eastAsia="en-GB"/>
        </w:rPr>
        <w:t>a new entity</w:t>
      </w:r>
      <w:r w:rsidR="00A64F4F">
        <w:rPr>
          <w:rFonts w:asciiTheme="majorHAnsi" w:eastAsia="Times New Roman" w:hAnsiTheme="majorHAnsi" w:cstheme="minorHAnsi"/>
          <w:lang w:eastAsia="en-GB"/>
        </w:rPr>
        <w:t xml:space="preserve">, set up in the framework of the EIB Group </w:t>
      </w:r>
      <w:r w:rsidR="00A64F4F" w:rsidRPr="00517CE3">
        <w:rPr>
          <w:rFonts w:asciiTheme="majorHAnsi" w:hAnsiTheme="majorHAnsi"/>
        </w:rPr>
        <w:t xml:space="preserve">(currently consisting of the European Investment Bank and the European Investment </w:t>
      </w:r>
      <w:r w:rsidR="00A64F4F">
        <w:rPr>
          <w:rFonts w:asciiTheme="majorHAnsi" w:hAnsiTheme="majorHAnsi"/>
        </w:rPr>
        <w:t>Fund)</w:t>
      </w:r>
      <w:r w:rsidR="00850FF3" w:rsidRPr="00517CE3">
        <w:rPr>
          <w:rFonts w:asciiTheme="majorHAnsi" w:eastAsia="Times New Roman" w:hAnsiTheme="majorHAnsi" w:cstheme="minorHAnsi"/>
          <w:lang w:eastAsia="en-GB"/>
        </w:rPr>
        <w:t>.</w:t>
      </w:r>
      <w:r w:rsidR="00347B71" w:rsidRPr="00517CE3">
        <w:rPr>
          <w:rFonts w:asciiTheme="majorHAnsi" w:eastAsia="Times New Roman" w:hAnsiTheme="majorHAnsi" w:cstheme="minorHAnsi"/>
          <w:lang w:eastAsia="en-GB"/>
        </w:rPr>
        <w:t xml:space="preserve"> </w:t>
      </w:r>
      <w:r w:rsidR="00496568" w:rsidRPr="00245F82">
        <w:rPr>
          <w:rFonts w:asciiTheme="majorHAnsi" w:hAnsiTheme="majorHAnsi"/>
          <w:lang w:val="en-GB"/>
        </w:rPr>
        <w:t>Thi</w:t>
      </w:r>
      <w:r w:rsidR="00F412B6" w:rsidRPr="00245F82">
        <w:rPr>
          <w:rFonts w:asciiTheme="majorHAnsi" w:hAnsiTheme="majorHAnsi"/>
          <w:lang w:val="en-GB"/>
        </w:rPr>
        <w:t xml:space="preserve">s </w:t>
      </w:r>
      <w:r w:rsidRPr="00245F82">
        <w:rPr>
          <w:rFonts w:asciiTheme="majorHAnsi" w:hAnsiTheme="majorHAnsi"/>
          <w:lang w:val="en-GB"/>
        </w:rPr>
        <w:t>reflects</w:t>
      </w:r>
      <w:r w:rsidR="00496568" w:rsidRPr="00245F82">
        <w:rPr>
          <w:rFonts w:asciiTheme="majorHAnsi" w:hAnsiTheme="majorHAnsi"/>
          <w:lang w:val="en-GB"/>
        </w:rPr>
        <w:t xml:space="preserve"> a pragmatic consideration -</w:t>
      </w:r>
      <w:r w:rsidRPr="00245F82">
        <w:rPr>
          <w:rFonts w:asciiTheme="majorHAnsi" w:hAnsiTheme="majorHAnsi"/>
          <w:lang w:val="en-GB"/>
        </w:rPr>
        <w:t xml:space="preserve"> we believe it is better to carefully tailor the new </w:t>
      </w:r>
      <w:r w:rsidR="00A64F4F">
        <w:rPr>
          <w:rFonts w:asciiTheme="majorHAnsi" w:hAnsiTheme="majorHAnsi"/>
          <w:lang w:val="en-GB"/>
        </w:rPr>
        <w:t>mechanism</w:t>
      </w:r>
      <w:r w:rsidR="00A64F4F" w:rsidRPr="00245F82">
        <w:rPr>
          <w:rFonts w:asciiTheme="majorHAnsi" w:hAnsiTheme="majorHAnsi"/>
          <w:lang w:val="en-GB"/>
        </w:rPr>
        <w:t xml:space="preserve"> </w:t>
      </w:r>
      <w:r w:rsidRPr="00245F82">
        <w:rPr>
          <w:rFonts w:asciiTheme="majorHAnsi" w:hAnsiTheme="majorHAnsi"/>
          <w:lang w:val="en-GB"/>
        </w:rPr>
        <w:t>to the newly emergin</w:t>
      </w:r>
      <w:r w:rsidR="00517CE3" w:rsidRPr="00517CE3">
        <w:rPr>
          <w:rFonts w:asciiTheme="majorHAnsi" w:hAnsiTheme="majorHAnsi"/>
          <w:lang w:val="en-GB"/>
        </w:rPr>
        <w:t>g needs, rather than introduc</w:t>
      </w:r>
      <w:r w:rsidR="00517CE3">
        <w:rPr>
          <w:rFonts w:asciiTheme="majorHAnsi" w:hAnsiTheme="majorHAnsi"/>
          <w:lang w:val="en-GB"/>
        </w:rPr>
        <w:t>e</w:t>
      </w:r>
      <w:r w:rsidRPr="00245F82">
        <w:rPr>
          <w:rFonts w:asciiTheme="majorHAnsi" w:hAnsiTheme="majorHAnsi"/>
          <w:lang w:val="en-GB"/>
        </w:rPr>
        <w:t xml:space="preserve"> far reaching, politically controversial, legally difficult and operationally inefficient adjustment of the existing institutions, for example by changing the mandate and weakening the stabilising role of ESM or increasing the balance sheet and changing the risk profile of the EIB</w:t>
      </w:r>
      <w:r w:rsidR="000A3EC9" w:rsidRPr="00245F82">
        <w:rPr>
          <w:rFonts w:asciiTheme="majorHAnsi" w:hAnsiTheme="majorHAnsi"/>
          <w:lang w:val="en-GB"/>
        </w:rPr>
        <w:t>.</w:t>
      </w:r>
      <w:r w:rsidRPr="00245F82">
        <w:rPr>
          <w:rFonts w:asciiTheme="majorHAnsi" w:hAnsiTheme="majorHAnsi"/>
          <w:lang w:val="en-GB"/>
        </w:rPr>
        <w:t xml:space="preserve"> </w:t>
      </w:r>
    </w:p>
    <w:p w:rsidR="00BD3F7E" w:rsidRPr="00773854" w:rsidRDefault="00496568" w:rsidP="00150C8A">
      <w:pPr>
        <w:spacing w:before="120"/>
        <w:jc w:val="both"/>
        <w:rPr>
          <w:rFonts w:asciiTheme="majorHAnsi" w:hAnsiTheme="majorHAnsi"/>
        </w:rPr>
      </w:pPr>
      <w:r w:rsidRPr="00245F82">
        <w:rPr>
          <w:lang w:val="en-GB"/>
        </w:rPr>
        <w:t xml:space="preserve">Thus </w:t>
      </w:r>
      <w:r w:rsidRPr="00517CE3">
        <w:rPr>
          <w:rFonts w:asciiTheme="majorHAnsi" w:hAnsiTheme="majorHAnsi"/>
        </w:rPr>
        <w:t>t</w:t>
      </w:r>
      <w:r w:rsidR="00BD3F7E" w:rsidRPr="00517CE3">
        <w:rPr>
          <w:rFonts w:asciiTheme="majorHAnsi" w:hAnsiTheme="majorHAnsi"/>
        </w:rPr>
        <w:t xml:space="preserve">he </w:t>
      </w:r>
      <w:r w:rsidR="00F412B6" w:rsidRPr="00517CE3">
        <w:rPr>
          <w:rFonts w:asciiTheme="majorHAnsi" w:hAnsiTheme="majorHAnsi"/>
        </w:rPr>
        <w:t xml:space="preserve">newly established </w:t>
      </w:r>
      <w:r w:rsidR="00BD3F7E" w:rsidRPr="00517CE3">
        <w:rPr>
          <w:rFonts w:asciiTheme="majorHAnsi" w:hAnsiTheme="majorHAnsi"/>
        </w:rPr>
        <w:t xml:space="preserve">Fund would operate as a special purpose vehicle, preferably </w:t>
      </w:r>
      <w:r w:rsidR="00F412B6" w:rsidRPr="00517CE3">
        <w:rPr>
          <w:rFonts w:asciiTheme="majorHAnsi" w:hAnsiTheme="majorHAnsi"/>
        </w:rPr>
        <w:t xml:space="preserve">within </w:t>
      </w:r>
      <w:r w:rsidR="00BD3F7E" w:rsidRPr="00517CE3">
        <w:rPr>
          <w:rFonts w:asciiTheme="majorHAnsi" w:hAnsiTheme="majorHAnsi"/>
        </w:rPr>
        <w:t xml:space="preserve">the EIB </w:t>
      </w:r>
      <w:r w:rsidR="00694BC4" w:rsidRPr="00517CE3">
        <w:rPr>
          <w:rFonts w:asciiTheme="majorHAnsi" w:hAnsiTheme="majorHAnsi"/>
        </w:rPr>
        <w:t>G</w:t>
      </w:r>
      <w:r w:rsidR="00BD3F7E" w:rsidRPr="00517CE3">
        <w:rPr>
          <w:rFonts w:asciiTheme="majorHAnsi" w:hAnsiTheme="majorHAnsi"/>
        </w:rPr>
        <w:t>roup</w:t>
      </w:r>
      <w:r w:rsidR="00BD3F7E">
        <w:rPr>
          <w:rFonts w:asciiTheme="majorHAnsi" w:hAnsiTheme="majorHAnsi"/>
        </w:rPr>
        <w:t xml:space="preserve">, </w:t>
      </w:r>
      <w:r w:rsidR="000A3EC9">
        <w:rPr>
          <w:rFonts w:asciiTheme="majorHAnsi" w:hAnsiTheme="majorHAnsi"/>
        </w:rPr>
        <w:t>to build on its expertise and know-how</w:t>
      </w:r>
      <w:r w:rsidR="00BD3F7E">
        <w:rPr>
          <w:rFonts w:asciiTheme="majorHAnsi" w:hAnsiTheme="majorHAnsi"/>
        </w:rPr>
        <w:t xml:space="preserve">. </w:t>
      </w:r>
      <w:r w:rsidR="00BD3F7E" w:rsidRPr="00773854">
        <w:rPr>
          <w:rFonts w:asciiTheme="majorHAnsi" w:hAnsiTheme="majorHAnsi"/>
        </w:rPr>
        <w:t xml:space="preserve">Art. 352 </w:t>
      </w:r>
      <w:r w:rsidR="00BD3F7E" w:rsidRPr="00773854">
        <w:rPr>
          <w:rFonts w:asciiTheme="majorHAnsi" w:eastAsia="Times New Roman" w:hAnsiTheme="majorHAnsi" w:cstheme="minorHAnsi"/>
          <w:lang w:val="en" w:eastAsia="en-GB"/>
        </w:rPr>
        <w:t>of the Treaty on the functioning of the EU</w:t>
      </w:r>
      <w:r w:rsidR="008210FE">
        <w:rPr>
          <w:rFonts w:asciiTheme="majorHAnsi" w:eastAsia="Times New Roman" w:hAnsiTheme="majorHAnsi" w:cstheme="minorHAnsi"/>
          <w:lang w:val="en" w:eastAsia="en-GB"/>
        </w:rPr>
        <w:t>,</w:t>
      </w:r>
      <w:r w:rsidR="00BD3F7E" w:rsidRPr="00773854">
        <w:rPr>
          <w:rFonts w:asciiTheme="majorHAnsi" w:eastAsia="Times New Roman" w:hAnsiTheme="majorHAnsi" w:cstheme="minorHAnsi"/>
          <w:lang w:val="en" w:eastAsia="en-GB"/>
        </w:rPr>
        <w:t xml:space="preserve"> </w:t>
      </w:r>
      <w:r w:rsidR="00735505">
        <w:rPr>
          <w:rFonts w:asciiTheme="majorHAnsi" w:eastAsia="Times New Roman" w:hAnsiTheme="majorHAnsi" w:cstheme="minorHAnsi"/>
          <w:lang w:val="en" w:eastAsia="en-GB"/>
        </w:rPr>
        <w:t>linked with a</w:t>
      </w:r>
      <w:r w:rsidR="008210FE" w:rsidRPr="00773854">
        <w:rPr>
          <w:rFonts w:asciiTheme="majorHAnsi" w:eastAsia="Times New Roman" w:hAnsiTheme="majorHAnsi" w:cstheme="minorHAnsi"/>
          <w:lang w:val="en" w:eastAsia="en-GB"/>
        </w:rPr>
        <w:t>rt. 308</w:t>
      </w:r>
      <w:r w:rsidR="008210FE">
        <w:rPr>
          <w:rFonts w:asciiTheme="majorHAnsi" w:eastAsia="Times New Roman" w:hAnsiTheme="majorHAnsi" w:cstheme="minorHAnsi"/>
          <w:lang w:val="en" w:eastAsia="en-GB"/>
        </w:rPr>
        <w:t>,</w:t>
      </w:r>
      <w:r w:rsidR="008210FE" w:rsidRPr="00773854">
        <w:rPr>
          <w:rFonts w:asciiTheme="majorHAnsi" w:eastAsia="Times New Roman" w:hAnsiTheme="majorHAnsi" w:cstheme="minorHAnsi"/>
          <w:lang w:val="en" w:eastAsia="en-GB"/>
        </w:rPr>
        <w:t xml:space="preserve"> </w:t>
      </w:r>
      <w:r w:rsidR="00BD3F7E" w:rsidRPr="00773854">
        <w:rPr>
          <w:rFonts w:asciiTheme="majorHAnsi" w:eastAsia="Times New Roman" w:hAnsiTheme="majorHAnsi" w:cstheme="minorHAnsi"/>
          <w:lang w:val="en" w:eastAsia="en-GB"/>
        </w:rPr>
        <w:t>provides a legal base for</w:t>
      </w:r>
      <w:r w:rsidR="0095422B">
        <w:rPr>
          <w:rFonts w:asciiTheme="majorHAnsi" w:eastAsia="Times New Roman" w:hAnsiTheme="majorHAnsi" w:cstheme="minorHAnsi"/>
          <w:lang w:val="en" w:eastAsia="en-GB"/>
        </w:rPr>
        <w:t xml:space="preserve"> the</w:t>
      </w:r>
      <w:r w:rsidR="00BD3F7E" w:rsidRPr="00773854">
        <w:rPr>
          <w:rFonts w:asciiTheme="majorHAnsi" w:eastAsia="Times New Roman" w:hAnsiTheme="majorHAnsi" w:cstheme="minorHAnsi"/>
          <w:lang w:val="en" w:eastAsia="en-GB"/>
        </w:rPr>
        <w:t xml:space="preserve"> EFI. </w:t>
      </w:r>
      <w:r w:rsidR="008210FE">
        <w:rPr>
          <w:rFonts w:asciiTheme="majorHAnsi" w:eastAsia="Times New Roman" w:hAnsiTheme="majorHAnsi" w:cstheme="minorHAnsi"/>
          <w:lang w:val="en" w:eastAsia="en-GB"/>
        </w:rPr>
        <w:t>On the b</w:t>
      </w:r>
      <w:r w:rsidR="00BD3F7E" w:rsidRPr="00773854">
        <w:rPr>
          <w:rFonts w:asciiTheme="majorHAnsi" w:eastAsia="Times New Roman" w:hAnsiTheme="majorHAnsi" w:cstheme="minorHAnsi"/>
          <w:lang w:val="en" w:eastAsia="en-GB"/>
        </w:rPr>
        <w:t>as</w:t>
      </w:r>
      <w:r w:rsidR="008210FE">
        <w:rPr>
          <w:rFonts w:asciiTheme="majorHAnsi" w:eastAsia="Times New Roman" w:hAnsiTheme="majorHAnsi" w:cstheme="minorHAnsi"/>
          <w:lang w:val="en" w:eastAsia="en-GB"/>
        </w:rPr>
        <w:t>is of</w:t>
      </w:r>
      <w:r w:rsidR="00BD3F7E" w:rsidRPr="00773854">
        <w:rPr>
          <w:rFonts w:asciiTheme="majorHAnsi" w:eastAsia="Times New Roman" w:hAnsiTheme="majorHAnsi" w:cstheme="minorHAnsi"/>
          <w:lang w:val="en" w:eastAsia="en-GB"/>
        </w:rPr>
        <w:t xml:space="preserve"> art. 28 of </w:t>
      </w:r>
      <w:r w:rsidR="0095422B">
        <w:rPr>
          <w:rFonts w:asciiTheme="majorHAnsi" w:eastAsia="Times New Roman" w:hAnsiTheme="majorHAnsi" w:cstheme="minorHAnsi"/>
          <w:lang w:val="en" w:eastAsia="en-GB"/>
        </w:rPr>
        <w:t xml:space="preserve">the </w:t>
      </w:r>
      <w:r w:rsidR="00BD3F7E" w:rsidRPr="00773854">
        <w:rPr>
          <w:rFonts w:asciiTheme="majorHAnsi" w:eastAsia="Times New Roman" w:hAnsiTheme="majorHAnsi" w:cstheme="minorHAnsi"/>
          <w:lang w:val="en" w:eastAsia="en-GB"/>
        </w:rPr>
        <w:t xml:space="preserve">EIB statute, the Governors may decide by unanimity to establish </w:t>
      </w:r>
      <w:r w:rsidR="0095422B">
        <w:rPr>
          <w:rFonts w:asciiTheme="majorHAnsi" w:eastAsia="Times New Roman" w:hAnsiTheme="majorHAnsi" w:cstheme="minorHAnsi"/>
          <w:lang w:val="en" w:eastAsia="en-GB"/>
        </w:rPr>
        <w:t xml:space="preserve">a </w:t>
      </w:r>
      <w:r w:rsidR="00BD3F7E" w:rsidRPr="00773854">
        <w:rPr>
          <w:rFonts w:asciiTheme="majorHAnsi" w:eastAsia="Times New Roman" w:hAnsiTheme="majorHAnsi" w:cstheme="minorHAnsi"/>
          <w:lang w:val="en" w:eastAsia="en-GB"/>
        </w:rPr>
        <w:t>dependent legal entity.</w:t>
      </w:r>
      <w:r w:rsidR="00BD3F7E" w:rsidRPr="00773854">
        <w:rPr>
          <w:rStyle w:val="Odwoanieprzypisudolnego"/>
          <w:rFonts w:asciiTheme="majorHAnsi" w:eastAsia="Times New Roman" w:hAnsiTheme="majorHAnsi" w:cstheme="minorHAnsi"/>
          <w:lang w:val="en" w:eastAsia="en-GB"/>
        </w:rPr>
        <w:footnoteReference w:id="1"/>
      </w:r>
      <w:r w:rsidR="00BD3F7E" w:rsidRPr="00773854">
        <w:rPr>
          <w:rFonts w:asciiTheme="majorHAnsi" w:eastAsia="Times New Roman" w:hAnsiTheme="majorHAnsi" w:cstheme="minorHAnsi"/>
          <w:lang w:val="en" w:eastAsia="en-GB"/>
        </w:rPr>
        <w:t xml:space="preserve">  </w:t>
      </w:r>
    </w:p>
    <w:p w:rsidR="001C519B" w:rsidRPr="00773854" w:rsidRDefault="00F412B6" w:rsidP="00205EC9">
      <w:pPr>
        <w:spacing w:before="120"/>
        <w:jc w:val="both"/>
        <w:rPr>
          <w:rFonts w:asciiTheme="majorHAnsi" w:hAnsiTheme="majorHAnsi"/>
        </w:rPr>
      </w:pPr>
      <w:r>
        <w:rPr>
          <w:rFonts w:asciiTheme="majorHAnsi" w:eastAsia="Times New Roman" w:hAnsiTheme="majorHAnsi" w:cstheme="minorHAnsi"/>
          <w:lang w:eastAsia="en-GB"/>
        </w:rPr>
        <w:t xml:space="preserve">The </w:t>
      </w:r>
      <w:r w:rsidR="00347B71" w:rsidRPr="00773854">
        <w:rPr>
          <w:rFonts w:asciiTheme="majorHAnsi" w:eastAsia="Times New Roman" w:hAnsiTheme="majorHAnsi" w:cstheme="minorHAnsi"/>
          <w:lang w:eastAsia="en-GB"/>
        </w:rPr>
        <w:t>financ</w:t>
      </w:r>
      <w:r w:rsidR="00850FF3">
        <w:rPr>
          <w:rFonts w:asciiTheme="majorHAnsi" w:eastAsia="Times New Roman" w:hAnsiTheme="majorHAnsi" w:cstheme="minorHAnsi"/>
          <w:lang w:eastAsia="en-GB"/>
        </w:rPr>
        <w:t>ing</w:t>
      </w:r>
      <w:r>
        <w:rPr>
          <w:rFonts w:asciiTheme="majorHAnsi" w:eastAsia="Times New Roman" w:hAnsiTheme="majorHAnsi" w:cstheme="minorHAnsi"/>
          <w:lang w:eastAsia="en-GB"/>
        </w:rPr>
        <w:t xml:space="preserve"> of </w:t>
      </w:r>
      <w:r w:rsidR="0095422B">
        <w:rPr>
          <w:rFonts w:asciiTheme="majorHAnsi" w:eastAsia="Times New Roman" w:hAnsiTheme="majorHAnsi" w:cstheme="minorHAnsi"/>
          <w:lang w:eastAsia="en-GB"/>
        </w:rPr>
        <w:t xml:space="preserve">the </w:t>
      </w:r>
      <w:r>
        <w:rPr>
          <w:rFonts w:asciiTheme="majorHAnsi" w:eastAsia="Times New Roman" w:hAnsiTheme="majorHAnsi" w:cstheme="minorHAnsi"/>
          <w:lang w:eastAsia="en-GB"/>
        </w:rPr>
        <w:t>EFI</w:t>
      </w:r>
      <w:r w:rsidR="00850FF3">
        <w:rPr>
          <w:rFonts w:asciiTheme="majorHAnsi" w:eastAsia="Times New Roman" w:hAnsiTheme="majorHAnsi" w:cstheme="minorHAnsi"/>
          <w:lang w:eastAsia="en-GB"/>
        </w:rPr>
        <w:t xml:space="preserve"> would resemble </w:t>
      </w:r>
      <w:r w:rsidR="0095422B">
        <w:rPr>
          <w:rFonts w:asciiTheme="majorHAnsi" w:eastAsia="Times New Roman" w:hAnsiTheme="majorHAnsi" w:cstheme="minorHAnsi"/>
          <w:lang w:eastAsia="en-GB"/>
        </w:rPr>
        <w:t>that for</w:t>
      </w:r>
      <w:r w:rsidR="00850FF3">
        <w:rPr>
          <w:rFonts w:asciiTheme="majorHAnsi" w:eastAsia="Times New Roman" w:hAnsiTheme="majorHAnsi" w:cstheme="minorHAnsi"/>
          <w:lang w:eastAsia="en-GB"/>
        </w:rPr>
        <w:t xml:space="preserve"> </w:t>
      </w:r>
      <w:r w:rsidR="001C519B" w:rsidRPr="00773854">
        <w:rPr>
          <w:rFonts w:asciiTheme="majorHAnsi" w:eastAsia="Times New Roman" w:hAnsiTheme="majorHAnsi" w:cstheme="minorHAnsi"/>
          <w:lang w:eastAsia="en-GB"/>
        </w:rPr>
        <w:t>the European Stability Mechanism</w:t>
      </w:r>
      <w:r w:rsidR="0095422B">
        <w:rPr>
          <w:rFonts w:asciiTheme="majorHAnsi" w:eastAsia="Times New Roman" w:hAnsiTheme="majorHAnsi" w:cstheme="minorHAnsi"/>
          <w:lang w:eastAsia="en-GB"/>
        </w:rPr>
        <w:t>,</w:t>
      </w:r>
      <w:r w:rsidR="00850FF3">
        <w:rPr>
          <w:rFonts w:asciiTheme="majorHAnsi" w:eastAsia="Times New Roman" w:hAnsiTheme="majorHAnsi" w:cstheme="minorHAnsi"/>
          <w:lang w:eastAsia="en-GB"/>
        </w:rPr>
        <w:t xml:space="preserve"> with </w:t>
      </w:r>
      <w:r w:rsidR="00BB7037" w:rsidRPr="00773854">
        <w:rPr>
          <w:rFonts w:asciiTheme="majorHAnsi" w:eastAsia="Times New Roman" w:hAnsiTheme="majorHAnsi" w:cstheme="minorHAnsi"/>
          <w:lang w:eastAsia="en-GB"/>
        </w:rPr>
        <w:t xml:space="preserve">a </w:t>
      </w:r>
      <w:r w:rsidR="00BB7037" w:rsidRPr="00773854">
        <w:rPr>
          <w:rFonts w:asciiTheme="majorHAnsi" w:eastAsia="Times New Roman" w:hAnsiTheme="majorHAnsi"/>
          <w:lang w:eastAsia="en-GB"/>
        </w:rPr>
        <w:t xml:space="preserve">gradual injection </w:t>
      </w:r>
      <w:r w:rsidR="00BB7037" w:rsidRPr="00773854">
        <w:rPr>
          <w:rFonts w:asciiTheme="majorHAnsi" w:eastAsia="Times New Roman" w:hAnsiTheme="majorHAnsi" w:cstheme="minorHAnsi"/>
          <w:lang w:eastAsia="en-GB"/>
        </w:rPr>
        <w:t xml:space="preserve">of paid-in capital </w:t>
      </w:r>
      <w:r w:rsidR="00BB7037" w:rsidRPr="00773854">
        <w:rPr>
          <w:rFonts w:asciiTheme="majorHAnsi" w:eastAsia="Times New Roman" w:hAnsiTheme="majorHAnsi"/>
          <w:lang w:eastAsia="en-GB"/>
        </w:rPr>
        <w:t>by</w:t>
      </w:r>
      <w:r w:rsidR="00BB7037" w:rsidRPr="00773854">
        <w:rPr>
          <w:rFonts w:asciiTheme="majorHAnsi" w:eastAsia="Times New Roman" w:hAnsiTheme="majorHAnsi" w:cstheme="minorHAnsi"/>
          <w:lang w:eastAsia="en-GB"/>
        </w:rPr>
        <w:t xml:space="preserve"> </w:t>
      </w:r>
      <w:r w:rsidR="00BB7037" w:rsidRPr="00773854">
        <w:rPr>
          <w:rFonts w:asciiTheme="majorHAnsi" w:eastAsia="Times New Roman" w:hAnsiTheme="majorHAnsi"/>
          <w:lang w:eastAsia="en-GB"/>
        </w:rPr>
        <w:t>all EU Member States</w:t>
      </w:r>
      <w:r w:rsidR="00BB7037" w:rsidRPr="00773854">
        <w:rPr>
          <w:rFonts w:asciiTheme="majorHAnsi" w:eastAsia="Times New Roman" w:hAnsiTheme="majorHAnsi" w:cstheme="minorHAnsi"/>
          <w:lang w:eastAsia="en-GB"/>
        </w:rPr>
        <w:t xml:space="preserve"> </w:t>
      </w:r>
      <w:r w:rsidR="00BB7037" w:rsidRPr="00773854">
        <w:rPr>
          <w:rFonts w:asciiTheme="majorHAnsi" w:eastAsia="Times New Roman" w:hAnsiTheme="majorHAnsi"/>
          <w:lang w:eastAsia="en-GB"/>
        </w:rPr>
        <w:t>and guarantees</w:t>
      </w:r>
      <w:r w:rsidR="001C519B" w:rsidRPr="00773854">
        <w:rPr>
          <w:rFonts w:asciiTheme="majorHAnsi" w:eastAsia="Times New Roman" w:hAnsiTheme="majorHAnsi"/>
          <w:lang w:eastAsia="en-GB"/>
        </w:rPr>
        <w:t xml:space="preserve"> in the form of </w:t>
      </w:r>
      <w:r w:rsidR="00694BC4">
        <w:rPr>
          <w:rFonts w:asciiTheme="majorHAnsi" w:eastAsia="Times New Roman" w:hAnsiTheme="majorHAnsi"/>
          <w:lang w:eastAsia="en-GB"/>
        </w:rPr>
        <w:t xml:space="preserve">remaining </w:t>
      </w:r>
      <w:r w:rsidR="001C519B" w:rsidRPr="00773854">
        <w:rPr>
          <w:rFonts w:asciiTheme="majorHAnsi" w:eastAsia="Times New Roman" w:hAnsiTheme="majorHAnsi"/>
          <w:lang w:eastAsia="en-GB"/>
        </w:rPr>
        <w:t xml:space="preserve">capital </w:t>
      </w:r>
      <w:r w:rsidR="00694BC4">
        <w:rPr>
          <w:rFonts w:asciiTheme="majorHAnsi" w:eastAsia="Times New Roman" w:hAnsiTheme="majorHAnsi"/>
          <w:lang w:eastAsia="en-GB"/>
        </w:rPr>
        <w:t xml:space="preserve">payable </w:t>
      </w:r>
      <w:r w:rsidR="001C519B" w:rsidRPr="00773854">
        <w:rPr>
          <w:rFonts w:asciiTheme="majorHAnsi" w:eastAsia="Times New Roman" w:hAnsiTheme="majorHAnsi"/>
          <w:lang w:eastAsia="en-GB"/>
        </w:rPr>
        <w:t>upon request</w:t>
      </w:r>
      <w:r w:rsidR="00BB7037" w:rsidRPr="00773854">
        <w:rPr>
          <w:rFonts w:asciiTheme="majorHAnsi" w:eastAsia="Times New Roman" w:hAnsiTheme="majorHAnsi" w:cstheme="minorHAnsi"/>
          <w:lang w:eastAsia="en-GB"/>
        </w:rPr>
        <w:t xml:space="preserve">. </w:t>
      </w:r>
      <w:r w:rsidR="001C519B" w:rsidRPr="00773854">
        <w:rPr>
          <w:rFonts w:asciiTheme="majorHAnsi" w:eastAsia="Times New Roman" w:hAnsiTheme="majorHAnsi" w:cstheme="minorHAnsi"/>
          <w:lang w:eastAsia="en-GB"/>
        </w:rPr>
        <w:t xml:space="preserve">The paid-in capital </w:t>
      </w:r>
      <w:r w:rsidR="00850FF3">
        <w:rPr>
          <w:rFonts w:asciiTheme="majorHAnsi" w:eastAsia="Times New Roman" w:hAnsiTheme="majorHAnsi" w:cstheme="minorHAnsi"/>
          <w:lang w:eastAsia="en-GB"/>
        </w:rPr>
        <w:t xml:space="preserve">would </w:t>
      </w:r>
      <w:r w:rsidR="00A64F4F">
        <w:rPr>
          <w:rFonts w:asciiTheme="majorHAnsi" w:eastAsia="Times New Roman" w:hAnsiTheme="majorHAnsi" w:cstheme="minorHAnsi"/>
          <w:lang w:eastAsia="en-GB"/>
        </w:rPr>
        <w:t xml:space="preserve">constitute a capital base, </w:t>
      </w:r>
      <w:r w:rsidR="001E33FD">
        <w:rPr>
          <w:rFonts w:asciiTheme="majorHAnsi" w:eastAsia="Times New Roman" w:hAnsiTheme="majorHAnsi" w:cstheme="minorHAnsi"/>
          <w:lang w:eastAsia="en-GB"/>
        </w:rPr>
        <w:t xml:space="preserve">which </w:t>
      </w:r>
      <w:r w:rsidR="00A64F4F">
        <w:rPr>
          <w:rFonts w:asciiTheme="majorHAnsi" w:eastAsia="Times New Roman" w:hAnsiTheme="majorHAnsi" w:cstheme="minorHAnsi"/>
          <w:lang w:eastAsia="en-GB"/>
        </w:rPr>
        <w:t xml:space="preserve">would </w:t>
      </w:r>
      <w:r w:rsidR="001C519B" w:rsidRPr="00773854">
        <w:rPr>
          <w:rFonts w:asciiTheme="majorHAnsi" w:eastAsia="Times New Roman" w:hAnsiTheme="majorHAnsi" w:cstheme="minorHAnsi"/>
          <w:lang w:eastAsia="en-GB"/>
        </w:rPr>
        <w:t xml:space="preserve">be </w:t>
      </w:r>
      <w:r w:rsidR="00694BC4">
        <w:rPr>
          <w:rFonts w:asciiTheme="majorHAnsi" w:eastAsia="Times New Roman" w:hAnsiTheme="majorHAnsi" w:cstheme="minorHAnsi"/>
          <w:lang w:eastAsia="en-GB"/>
        </w:rPr>
        <w:t xml:space="preserve">then </w:t>
      </w:r>
      <w:r w:rsidR="001C519B" w:rsidRPr="00773854">
        <w:rPr>
          <w:rFonts w:asciiTheme="majorHAnsi" w:eastAsia="Times New Roman" w:hAnsiTheme="majorHAnsi" w:cstheme="minorHAnsi"/>
          <w:lang w:eastAsia="en-GB"/>
        </w:rPr>
        <w:t xml:space="preserve">leveraged </w:t>
      </w:r>
      <w:r w:rsidR="001C519B" w:rsidRPr="00773854">
        <w:rPr>
          <w:rFonts w:asciiTheme="majorHAnsi" w:hAnsiTheme="majorHAnsi"/>
        </w:rPr>
        <w:t xml:space="preserve">by </w:t>
      </w:r>
      <w:r w:rsidR="001E33FD">
        <w:rPr>
          <w:rFonts w:asciiTheme="majorHAnsi" w:hAnsiTheme="majorHAnsi"/>
        </w:rPr>
        <w:t xml:space="preserve">issuing bonds </w:t>
      </w:r>
      <w:r>
        <w:rPr>
          <w:rFonts w:asciiTheme="majorHAnsi" w:hAnsiTheme="majorHAnsi"/>
        </w:rPr>
        <w:t>in</w:t>
      </w:r>
      <w:r w:rsidR="00694BC4">
        <w:rPr>
          <w:rFonts w:asciiTheme="majorHAnsi" w:hAnsiTheme="majorHAnsi"/>
        </w:rPr>
        <w:t xml:space="preserve"> </w:t>
      </w:r>
      <w:r w:rsidR="001C519B" w:rsidRPr="00773854">
        <w:rPr>
          <w:rFonts w:asciiTheme="majorHAnsi" w:hAnsiTheme="majorHAnsi"/>
        </w:rPr>
        <w:t xml:space="preserve">the </w:t>
      </w:r>
      <w:r w:rsidR="001E33FD">
        <w:rPr>
          <w:rFonts w:asciiTheme="majorHAnsi" w:hAnsiTheme="majorHAnsi"/>
        </w:rPr>
        <w:t xml:space="preserve">international </w:t>
      </w:r>
      <w:r w:rsidR="001C519B" w:rsidRPr="00773854">
        <w:rPr>
          <w:rFonts w:asciiTheme="majorHAnsi" w:hAnsiTheme="majorHAnsi"/>
        </w:rPr>
        <w:t>financial market</w:t>
      </w:r>
      <w:r>
        <w:rPr>
          <w:rFonts w:asciiTheme="majorHAnsi" w:hAnsiTheme="majorHAnsi"/>
        </w:rPr>
        <w:t>s</w:t>
      </w:r>
      <w:r w:rsidR="001C519B" w:rsidRPr="00773854">
        <w:rPr>
          <w:rFonts w:asciiTheme="majorHAnsi" w:hAnsiTheme="majorHAnsi"/>
        </w:rPr>
        <w:t xml:space="preserve">. </w:t>
      </w:r>
    </w:p>
    <w:p w:rsidR="00BD3F7E" w:rsidRPr="00150C8A" w:rsidRDefault="00BD3F7E" w:rsidP="00150C8A">
      <w:pPr>
        <w:spacing w:before="360"/>
        <w:jc w:val="both"/>
        <w:rPr>
          <w:rFonts w:asciiTheme="majorHAnsi" w:eastAsia="Times New Roman" w:hAnsiTheme="majorHAnsi" w:cstheme="minorHAnsi"/>
          <w:i/>
          <w:lang w:eastAsia="en-GB"/>
        </w:rPr>
      </w:pPr>
      <w:r w:rsidRPr="00150C8A">
        <w:rPr>
          <w:rFonts w:asciiTheme="majorHAnsi" w:eastAsia="Times New Roman" w:hAnsiTheme="majorHAnsi" w:cstheme="minorHAnsi"/>
          <w:i/>
          <w:lang w:eastAsia="en-GB"/>
        </w:rPr>
        <w:t>Impact on national budgets</w:t>
      </w:r>
    </w:p>
    <w:p w:rsidR="001C519B" w:rsidRPr="00773854" w:rsidRDefault="00F412B6" w:rsidP="00205EC9">
      <w:pPr>
        <w:spacing w:before="120"/>
        <w:jc w:val="both"/>
        <w:rPr>
          <w:rFonts w:asciiTheme="majorHAnsi" w:eastAsia="Times New Roman" w:hAnsiTheme="majorHAnsi" w:cstheme="minorHAnsi"/>
          <w:lang w:eastAsia="en-GB"/>
        </w:rPr>
      </w:pPr>
      <w:r>
        <w:rPr>
          <w:rFonts w:asciiTheme="majorHAnsi" w:hAnsiTheme="majorHAnsi"/>
        </w:rPr>
        <w:t>According to the existing European rules</w:t>
      </w:r>
      <w:r w:rsidR="00EF1BA5">
        <w:rPr>
          <w:rStyle w:val="Odwoanieprzypisudolnego"/>
          <w:rFonts w:asciiTheme="majorHAnsi" w:hAnsiTheme="majorHAnsi"/>
        </w:rPr>
        <w:footnoteReference w:id="2"/>
      </w:r>
      <w:r>
        <w:rPr>
          <w:rFonts w:asciiTheme="majorHAnsi" w:hAnsiTheme="majorHAnsi"/>
        </w:rPr>
        <w:t>, t</w:t>
      </w:r>
      <w:r w:rsidR="001C519B" w:rsidRPr="00773854">
        <w:rPr>
          <w:rFonts w:asciiTheme="majorHAnsi" w:hAnsiTheme="majorHAnsi"/>
        </w:rPr>
        <w:t xml:space="preserve">his form of financing </w:t>
      </w:r>
      <w:r>
        <w:rPr>
          <w:rFonts w:asciiTheme="majorHAnsi" w:hAnsiTheme="majorHAnsi"/>
        </w:rPr>
        <w:t>would have</w:t>
      </w:r>
      <w:r w:rsidR="00850FF3">
        <w:rPr>
          <w:rFonts w:asciiTheme="majorHAnsi" w:hAnsiTheme="majorHAnsi"/>
        </w:rPr>
        <w:t xml:space="preserve"> </w:t>
      </w:r>
      <w:r w:rsidR="001C519B" w:rsidRPr="00773854">
        <w:rPr>
          <w:rFonts w:asciiTheme="majorHAnsi" w:hAnsiTheme="majorHAnsi"/>
        </w:rPr>
        <w:t xml:space="preserve">only a limited impact on national budgets. </w:t>
      </w:r>
      <w:r w:rsidR="008210FE">
        <w:rPr>
          <w:rFonts w:asciiTheme="majorHAnsi" w:hAnsiTheme="majorHAnsi"/>
        </w:rPr>
        <w:t xml:space="preserve">EFI’s </w:t>
      </w:r>
      <w:r w:rsidR="001E33FD">
        <w:rPr>
          <w:rFonts w:asciiTheme="majorHAnsi" w:eastAsia="Times New Roman" w:hAnsiTheme="majorHAnsi" w:cstheme="minorHAnsi"/>
          <w:color w:val="222222"/>
          <w:lang w:val="en" w:eastAsia="pl-PL"/>
        </w:rPr>
        <w:t>bond issuance</w:t>
      </w:r>
      <w:r w:rsidR="001E33FD" w:rsidRPr="00773854">
        <w:rPr>
          <w:rFonts w:asciiTheme="majorHAnsi" w:eastAsia="Times New Roman" w:hAnsiTheme="majorHAnsi" w:cstheme="minorHAnsi"/>
          <w:color w:val="222222"/>
          <w:lang w:val="en" w:eastAsia="pl-PL"/>
        </w:rPr>
        <w:t xml:space="preserve"> </w:t>
      </w:r>
      <w:r w:rsidR="001C519B" w:rsidRPr="00773854">
        <w:rPr>
          <w:rFonts w:asciiTheme="majorHAnsi" w:eastAsia="Times New Roman" w:hAnsiTheme="majorHAnsi" w:cstheme="minorHAnsi"/>
          <w:color w:val="222222"/>
          <w:lang w:val="en" w:eastAsia="pl-PL"/>
        </w:rPr>
        <w:t xml:space="preserve">in the financial markets </w:t>
      </w:r>
      <w:r>
        <w:rPr>
          <w:rFonts w:asciiTheme="majorHAnsi" w:eastAsia="Times New Roman" w:hAnsiTheme="majorHAnsi" w:cstheme="minorHAnsi"/>
          <w:color w:val="222222"/>
          <w:lang w:val="en" w:eastAsia="pl-PL"/>
        </w:rPr>
        <w:t>would</w:t>
      </w:r>
      <w:r w:rsidR="001C519B" w:rsidRPr="00773854">
        <w:rPr>
          <w:rFonts w:asciiTheme="majorHAnsi" w:eastAsia="Times New Roman" w:hAnsiTheme="majorHAnsi" w:cstheme="minorHAnsi"/>
          <w:color w:val="222222"/>
          <w:lang w:val="en" w:eastAsia="pl-PL"/>
        </w:rPr>
        <w:t xml:space="preserve"> encumber </w:t>
      </w:r>
      <w:r w:rsidR="0095422B">
        <w:rPr>
          <w:rFonts w:asciiTheme="majorHAnsi" w:eastAsia="Times New Roman" w:hAnsiTheme="majorHAnsi" w:cstheme="minorHAnsi"/>
          <w:color w:val="222222"/>
          <w:lang w:val="en" w:eastAsia="pl-PL"/>
        </w:rPr>
        <w:t xml:space="preserve">only </w:t>
      </w:r>
      <w:r w:rsidR="0095422B" w:rsidRPr="00773854">
        <w:rPr>
          <w:rFonts w:asciiTheme="majorHAnsi" w:eastAsia="Times New Roman" w:hAnsiTheme="majorHAnsi" w:cstheme="minorHAnsi"/>
          <w:color w:val="222222"/>
          <w:lang w:val="en" w:eastAsia="pl-PL"/>
        </w:rPr>
        <w:t>the Fund</w:t>
      </w:r>
      <w:r w:rsidR="0095422B">
        <w:rPr>
          <w:rFonts w:asciiTheme="majorHAnsi" w:eastAsia="Times New Roman" w:hAnsiTheme="majorHAnsi" w:cstheme="minorHAnsi"/>
          <w:color w:val="222222"/>
          <w:lang w:val="en" w:eastAsia="pl-PL"/>
        </w:rPr>
        <w:t>,</w:t>
      </w:r>
      <w:r w:rsidR="0095422B" w:rsidRPr="00773854">
        <w:rPr>
          <w:rFonts w:asciiTheme="majorHAnsi" w:eastAsia="Times New Roman" w:hAnsiTheme="majorHAnsi" w:cstheme="minorHAnsi"/>
          <w:color w:val="222222"/>
          <w:lang w:val="en" w:eastAsia="pl-PL"/>
        </w:rPr>
        <w:t xml:space="preserve"> not </w:t>
      </w:r>
      <w:r w:rsidR="001C519B" w:rsidRPr="00773854">
        <w:rPr>
          <w:rFonts w:asciiTheme="majorHAnsi" w:eastAsia="Times New Roman" w:hAnsiTheme="majorHAnsi" w:cstheme="minorHAnsi"/>
          <w:color w:val="222222"/>
          <w:lang w:val="en" w:eastAsia="pl-PL"/>
        </w:rPr>
        <w:t>M</w:t>
      </w:r>
      <w:r w:rsidR="00221D7A" w:rsidRPr="00773854">
        <w:rPr>
          <w:rFonts w:asciiTheme="majorHAnsi" w:eastAsia="Times New Roman" w:hAnsiTheme="majorHAnsi" w:cstheme="minorHAnsi"/>
          <w:color w:val="222222"/>
          <w:lang w:val="en" w:eastAsia="pl-PL"/>
        </w:rPr>
        <w:t xml:space="preserve">ember </w:t>
      </w:r>
      <w:r w:rsidR="001C519B" w:rsidRPr="00773854">
        <w:rPr>
          <w:rFonts w:asciiTheme="majorHAnsi" w:eastAsia="Times New Roman" w:hAnsiTheme="majorHAnsi" w:cstheme="minorHAnsi"/>
          <w:color w:val="222222"/>
          <w:lang w:val="en" w:eastAsia="pl-PL"/>
        </w:rPr>
        <w:t>S</w:t>
      </w:r>
      <w:r w:rsidR="00221D7A" w:rsidRPr="00773854">
        <w:rPr>
          <w:rFonts w:asciiTheme="majorHAnsi" w:eastAsia="Times New Roman" w:hAnsiTheme="majorHAnsi" w:cstheme="minorHAnsi"/>
          <w:color w:val="222222"/>
          <w:lang w:val="en" w:eastAsia="pl-PL"/>
        </w:rPr>
        <w:t xml:space="preserve">tates. </w:t>
      </w:r>
      <w:r w:rsidR="001C519B" w:rsidRPr="00773854">
        <w:rPr>
          <w:rStyle w:val="hps"/>
          <w:rFonts w:asciiTheme="majorHAnsi" w:hAnsiTheme="majorHAnsi" w:cstheme="minorHAnsi"/>
        </w:rPr>
        <w:t>The paid-in capital w</w:t>
      </w:r>
      <w:r w:rsidR="00E50038">
        <w:rPr>
          <w:rStyle w:val="hps"/>
          <w:rFonts w:asciiTheme="majorHAnsi" w:hAnsiTheme="majorHAnsi" w:cstheme="minorHAnsi"/>
        </w:rPr>
        <w:t xml:space="preserve">ould </w:t>
      </w:r>
      <w:r w:rsidR="001C519B" w:rsidRPr="00773854">
        <w:rPr>
          <w:rStyle w:val="hps"/>
          <w:rFonts w:asciiTheme="majorHAnsi" w:hAnsiTheme="majorHAnsi" w:cstheme="minorHAnsi"/>
        </w:rPr>
        <w:t xml:space="preserve">add to </w:t>
      </w:r>
      <w:r w:rsidR="00221D7A" w:rsidRPr="00773854">
        <w:rPr>
          <w:rStyle w:val="hps"/>
          <w:rFonts w:asciiTheme="majorHAnsi" w:hAnsiTheme="majorHAnsi" w:cstheme="minorHAnsi"/>
        </w:rPr>
        <w:t xml:space="preserve">national </w:t>
      </w:r>
      <w:r w:rsidR="001C519B" w:rsidRPr="00773854">
        <w:rPr>
          <w:rStyle w:val="hps"/>
          <w:rFonts w:asciiTheme="majorHAnsi" w:hAnsiTheme="majorHAnsi" w:cstheme="minorHAnsi"/>
        </w:rPr>
        <w:t>deficits only in the form of debt servicing cost</w:t>
      </w:r>
      <w:r w:rsidR="005E31B7">
        <w:rPr>
          <w:rStyle w:val="hps"/>
          <w:rFonts w:asciiTheme="majorHAnsi" w:hAnsiTheme="majorHAnsi" w:cstheme="minorHAnsi"/>
        </w:rPr>
        <w:t>s</w:t>
      </w:r>
      <w:r w:rsidR="001C519B" w:rsidRPr="00773854">
        <w:rPr>
          <w:rStyle w:val="hps"/>
          <w:rFonts w:asciiTheme="majorHAnsi" w:hAnsiTheme="majorHAnsi" w:cstheme="minorHAnsi"/>
        </w:rPr>
        <w:t xml:space="preserve">, </w:t>
      </w:r>
      <w:r w:rsidR="00E50038">
        <w:rPr>
          <w:rStyle w:val="hps"/>
          <w:rFonts w:asciiTheme="majorHAnsi" w:hAnsiTheme="majorHAnsi" w:cstheme="minorHAnsi"/>
        </w:rPr>
        <w:t xml:space="preserve">and only </w:t>
      </w:r>
      <w:r>
        <w:rPr>
          <w:rStyle w:val="hps"/>
          <w:rFonts w:asciiTheme="majorHAnsi" w:hAnsiTheme="majorHAnsi" w:cstheme="minorHAnsi"/>
        </w:rPr>
        <w:t>if</w:t>
      </w:r>
      <w:r w:rsidR="0095422B">
        <w:rPr>
          <w:rStyle w:val="hps"/>
          <w:rFonts w:asciiTheme="majorHAnsi" w:hAnsiTheme="majorHAnsi" w:cstheme="minorHAnsi"/>
        </w:rPr>
        <w:t xml:space="preserve"> the</w:t>
      </w:r>
      <w:r>
        <w:rPr>
          <w:rStyle w:val="hps"/>
          <w:rFonts w:asciiTheme="majorHAnsi" w:hAnsiTheme="majorHAnsi" w:cstheme="minorHAnsi"/>
        </w:rPr>
        <w:t xml:space="preserve"> paid-in contribution is covered by additional public debt</w:t>
      </w:r>
      <w:r w:rsidR="001C519B" w:rsidRPr="00773854">
        <w:rPr>
          <w:rStyle w:val="hps"/>
          <w:rFonts w:asciiTheme="majorHAnsi" w:hAnsiTheme="majorHAnsi" w:cstheme="minorHAnsi"/>
        </w:rPr>
        <w:t xml:space="preserve">. </w:t>
      </w:r>
      <w:r w:rsidR="005E31B7">
        <w:rPr>
          <w:rStyle w:val="hps"/>
          <w:rFonts w:asciiTheme="majorHAnsi" w:hAnsiTheme="majorHAnsi" w:cstheme="minorHAnsi"/>
        </w:rPr>
        <w:t>Taking</w:t>
      </w:r>
      <w:r w:rsidR="005E31B7" w:rsidRPr="00773854">
        <w:rPr>
          <w:rStyle w:val="hps"/>
          <w:rFonts w:asciiTheme="majorHAnsi" w:hAnsiTheme="majorHAnsi" w:cstheme="minorHAnsi"/>
        </w:rPr>
        <w:t xml:space="preserve"> </w:t>
      </w:r>
      <w:r w:rsidR="001C519B" w:rsidRPr="00773854">
        <w:rPr>
          <w:rStyle w:val="hps"/>
          <w:rFonts w:asciiTheme="majorHAnsi" w:hAnsiTheme="majorHAnsi" w:cstheme="minorHAnsi"/>
        </w:rPr>
        <w:t>Poland</w:t>
      </w:r>
      <w:r w:rsidR="005E31B7">
        <w:rPr>
          <w:rStyle w:val="hps"/>
          <w:rFonts w:asciiTheme="majorHAnsi" w:hAnsiTheme="majorHAnsi" w:cstheme="minorHAnsi"/>
        </w:rPr>
        <w:t xml:space="preserve"> as an example,</w:t>
      </w:r>
      <w:r w:rsidR="001C519B" w:rsidRPr="00773854">
        <w:rPr>
          <w:rStyle w:val="hps"/>
          <w:rFonts w:asciiTheme="majorHAnsi" w:hAnsiTheme="majorHAnsi" w:cstheme="minorHAnsi"/>
        </w:rPr>
        <w:t xml:space="preserve"> this would have an annual impact on </w:t>
      </w:r>
      <w:r w:rsidR="0095422B">
        <w:rPr>
          <w:rStyle w:val="hps"/>
          <w:rFonts w:asciiTheme="majorHAnsi" w:hAnsiTheme="majorHAnsi" w:cstheme="minorHAnsi"/>
        </w:rPr>
        <w:t xml:space="preserve">the </w:t>
      </w:r>
      <w:r w:rsidR="001C519B" w:rsidRPr="00773854">
        <w:rPr>
          <w:rStyle w:val="hps"/>
          <w:rFonts w:asciiTheme="majorHAnsi" w:hAnsiTheme="majorHAnsi" w:cstheme="minorHAnsi"/>
        </w:rPr>
        <w:t>general government deficit of around 0</w:t>
      </w:r>
      <w:r w:rsidR="00694BC4">
        <w:rPr>
          <w:rStyle w:val="hps"/>
          <w:rFonts w:asciiTheme="majorHAnsi" w:hAnsiTheme="majorHAnsi" w:cstheme="minorHAnsi"/>
        </w:rPr>
        <w:t>.</w:t>
      </w:r>
      <w:r w:rsidR="001C519B" w:rsidRPr="00773854">
        <w:rPr>
          <w:rStyle w:val="hps"/>
          <w:rFonts w:asciiTheme="majorHAnsi" w:hAnsiTheme="majorHAnsi" w:cstheme="minorHAnsi"/>
        </w:rPr>
        <w:t>0</w:t>
      </w:r>
      <w:r w:rsidR="00850FF3">
        <w:rPr>
          <w:rStyle w:val="hps"/>
          <w:rFonts w:asciiTheme="majorHAnsi" w:hAnsiTheme="majorHAnsi" w:cstheme="minorHAnsi"/>
        </w:rPr>
        <w:t>2</w:t>
      </w:r>
      <w:r w:rsidR="001C519B" w:rsidRPr="00773854">
        <w:rPr>
          <w:rStyle w:val="hps"/>
          <w:rFonts w:asciiTheme="majorHAnsi" w:hAnsiTheme="majorHAnsi" w:cstheme="minorHAnsi"/>
        </w:rPr>
        <w:t>% of GDP and on gen</w:t>
      </w:r>
      <w:r w:rsidR="007B5607">
        <w:rPr>
          <w:rStyle w:val="hps"/>
          <w:rFonts w:asciiTheme="majorHAnsi" w:hAnsiTheme="majorHAnsi" w:cstheme="minorHAnsi"/>
        </w:rPr>
        <w:t xml:space="preserve">eral </w:t>
      </w:r>
      <w:r w:rsidR="007B5607">
        <w:rPr>
          <w:rStyle w:val="hps"/>
          <w:rFonts w:asciiTheme="majorHAnsi" w:hAnsiTheme="majorHAnsi" w:cstheme="minorHAnsi"/>
        </w:rPr>
        <w:lastRenderedPageBreak/>
        <w:t>government debt of around 0</w:t>
      </w:r>
      <w:r w:rsidR="00694BC4">
        <w:rPr>
          <w:rStyle w:val="hps"/>
          <w:rFonts w:asciiTheme="majorHAnsi" w:hAnsiTheme="majorHAnsi" w:cstheme="minorHAnsi"/>
        </w:rPr>
        <w:t>.</w:t>
      </w:r>
      <w:r w:rsidR="007B5607">
        <w:rPr>
          <w:rStyle w:val="hps"/>
          <w:rFonts w:asciiTheme="majorHAnsi" w:hAnsiTheme="majorHAnsi" w:cstheme="minorHAnsi"/>
        </w:rPr>
        <w:t>93</w:t>
      </w:r>
      <w:r w:rsidR="001C519B" w:rsidRPr="00773854">
        <w:rPr>
          <w:rStyle w:val="hps"/>
          <w:rFonts w:asciiTheme="majorHAnsi" w:hAnsiTheme="majorHAnsi" w:cstheme="minorHAnsi"/>
        </w:rPr>
        <w:t>% of GDP</w:t>
      </w:r>
      <w:r w:rsidR="00694BC4">
        <w:rPr>
          <w:rStyle w:val="hps"/>
          <w:rFonts w:asciiTheme="majorHAnsi" w:hAnsiTheme="majorHAnsi" w:cstheme="minorHAnsi"/>
        </w:rPr>
        <w:t xml:space="preserve"> (assuming total paid-in capital at </w:t>
      </w:r>
      <w:r w:rsidR="006E05D0">
        <w:rPr>
          <w:rStyle w:val="hps"/>
          <w:rFonts w:asciiTheme="majorHAnsi" w:hAnsiTheme="majorHAnsi" w:cstheme="minorHAnsi"/>
        </w:rPr>
        <w:t>105</w:t>
      </w:r>
      <w:r w:rsidR="00694BC4">
        <w:rPr>
          <w:rStyle w:val="hps"/>
          <w:rFonts w:asciiTheme="majorHAnsi" w:hAnsiTheme="majorHAnsi" w:cstheme="minorHAnsi"/>
        </w:rPr>
        <w:t xml:space="preserve"> billion EUR</w:t>
      </w:r>
      <w:r w:rsidR="001E33FD">
        <w:rPr>
          <w:rStyle w:val="Odwoanieprzypisudolnego"/>
          <w:rFonts w:asciiTheme="majorHAnsi" w:hAnsiTheme="majorHAnsi" w:cstheme="minorHAnsi"/>
        </w:rPr>
        <w:footnoteReference w:id="3"/>
      </w:r>
      <w:r w:rsidR="00062384">
        <w:rPr>
          <w:rStyle w:val="hps"/>
          <w:rFonts w:asciiTheme="majorHAnsi" w:hAnsiTheme="majorHAnsi" w:cstheme="minorHAnsi"/>
        </w:rPr>
        <w:t xml:space="preserve"> and </w:t>
      </w:r>
      <w:r w:rsidR="00DE7E8A">
        <w:rPr>
          <w:rStyle w:val="hps"/>
          <w:rFonts w:asciiTheme="majorHAnsi" w:hAnsiTheme="majorHAnsi" w:cstheme="minorHAnsi"/>
        </w:rPr>
        <w:t>using</w:t>
      </w:r>
      <w:r w:rsidR="003E1B8F">
        <w:rPr>
          <w:rStyle w:val="hps"/>
          <w:rFonts w:asciiTheme="majorHAnsi" w:hAnsiTheme="majorHAnsi" w:cstheme="minorHAnsi"/>
        </w:rPr>
        <w:t xml:space="preserve"> </w:t>
      </w:r>
      <w:r w:rsidR="00771675">
        <w:rPr>
          <w:rStyle w:val="hps"/>
          <w:rFonts w:asciiTheme="majorHAnsi" w:hAnsiTheme="majorHAnsi" w:cstheme="minorHAnsi"/>
        </w:rPr>
        <w:t>the ESM contribution key</w:t>
      </w:r>
      <w:r w:rsidR="00DE7E8A">
        <w:rPr>
          <w:rStyle w:val="hps"/>
          <w:rFonts w:asciiTheme="majorHAnsi" w:hAnsiTheme="majorHAnsi" w:cstheme="minorHAnsi"/>
        </w:rPr>
        <w:t xml:space="preserve">). </w:t>
      </w:r>
      <w:r w:rsidR="00F85219">
        <w:rPr>
          <w:rStyle w:val="hps"/>
          <w:rFonts w:asciiTheme="majorHAnsi" w:hAnsiTheme="majorHAnsi" w:cstheme="minorHAnsi"/>
        </w:rPr>
        <w:t>T</w:t>
      </w:r>
      <w:r w:rsidR="003E1B8F">
        <w:rPr>
          <w:rStyle w:val="hps"/>
          <w:rFonts w:asciiTheme="majorHAnsi" w:hAnsiTheme="majorHAnsi" w:cstheme="minorHAnsi"/>
        </w:rPr>
        <w:t xml:space="preserve">able 1 presents </w:t>
      </w:r>
      <w:r w:rsidR="00F85219">
        <w:rPr>
          <w:rStyle w:val="hps"/>
          <w:rFonts w:asciiTheme="majorHAnsi" w:hAnsiTheme="majorHAnsi" w:cstheme="minorHAnsi"/>
        </w:rPr>
        <w:t xml:space="preserve">illustrative </w:t>
      </w:r>
      <w:r w:rsidR="003E1B8F">
        <w:rPr>
          <w:rStyle w:val="hps"/>
          <w:rFonts w:asciiTheme="majorHAnsi" w:hAnsiTheme="majorHAnsi" w:cstheme="minorHAnsi"/>
        </w:rPr>
        <w:t>data for all Member States</w:t>
      </w:r>
      <w:r w:rsidR="001C519B" w:rsidRPr="00773854">
        <w:rPr>
          <w:rStyle w:val="hps"/>
          <w:rFonts w:asciiTheme="majorHAnsi" w:hAnsiTheme="majorHAnsi" w:cstheme="minorHAnsi"/>
        </w:rPr>
        <w:t xml:space="preserve">. </w:t>
      </w:r>
    </w:p>
    <w:p w:rsidR="009257DA" w:rsidRPr="009257DA" w:rsidRDefault="009257DA" w:rsidP="00150C8A">
      <w:pPr>
        <w:spacing w:before="360"/>
        <w:jc w:val="both"/>
        <w:rPr>
          <w:rFonts w:asciiTheme="majorHAnsi" w:eastAsia="Times New Roman" w:hAnsiTheme="majorHAnsi" w:cstheme="minorHAnsi"/>
          <w:i/>
          <w:lang w:eastAsia="en-GB"/>
        </w:rPr>
      </w:pPr>
      <w:r w:rsidRPr="009257DA">
        <w:rPr>
          <w:rFonts w:asciiTheme="majorHAnsi" w:eastAsia="Times New Roman" w:hAnsiTheme="majorHAnsi" w:cstheme="minorHAnsi"/>
          <w:i/>
          <w:lang w:eastAsia="en-GB"/>
        </w:rPr>
        <w:t xml:space="preserve">Supplementary character of </w:t>
      </w:r>
      <w:r w:rsidR="000A3EC9">
        <w:rPr>
          <w:rFonts w:asciiTheme="majorHAnsi" w:eastAsia="Times New Roman" w:hAnsiTheme="majorHAnsi" w:cstheme="minorHAnsi"/>
          <w:i/>
          <w:lang w:eastAsia="en-GB"/>
        </w:rPr>
        <w:t xml:space="preserve">EFI </w:t>
      </w:r>
      <w:r>
        <w:rPr>
          <w:rFonts w:asciiTheme="majorHAnsi" w:eastAsia="Times New Roman" w:hAnsiTheme="majorHAnsi" w:cstheme="minorHAnsi"/>
          <w:i/>
          <w:lang w:eastAsia="en-GB"/>
        </w:rPr>
        <w:t>funding</w:t>
      </w:r>
    </w:p>
    <w:p w:rsidR="008D6230" w:rsidRPr="00773854" w:rsidRDefault="00221D7A" w:rsidP="00205EC9">
      <w:pPr>
        <w:spacing w:before="120"/>
        <w:jc w:val="both"/>
        <w:rPr>
          <w:rFonts w:asciiTheme="majorHAnsi" w:eastAsia="Times New Roman" w:hAnsiTheme="majorHAnsi" w:cstheme="minorHAnsi"/>
          <w:lang w:eastAsia="en-GB"/>
        </w:rPr>
      </w:pPr>
      <w:r w:rsidRPr="00773854">
        <w:rPr>
          <w:rFonts w:asciiTheme="majorHAnsi" w:eastAsia="Times New Roman" w:hAnsiTheme="majorHAnsi" w:cstheme="minorHAnsi"/>
          <w:lang w:eastAsia="en-GB"/>
        </w:rPr>
        <w:t>The</w:t>
      </w:r>
      <w:r w:rsidR="00850FF3">
        <w:rPr>
          <w:rFonts w:asciiTheme="majorHAnsi" w:eastAsia="Times New Roman" w:hAnsiTheme="majorHAnsi" w:cstheme="minorHAnsi"/>
          <w:lang w:eastAsia="en-GB"/>
        </w:rPr>
        <w:t>se</w:t>
      </w:r>
      <w:r w:rsidRPr="00773854">
        <w:rPr>
          <w:rFonts w:asciiTheme="majorHAnsi" w:eastAsia="Times New Roman" w:hAnsiTheme="majorHAnsi" w:cstheme="minorHAnsi"/>
          <w:lang w:eastAsia="en-GB"/>
        </w:rPr>
        <w:t xml:space="preserve"> </w:t>
      </w:r>
      <w:r w:rsidRPr="00773854">
        <w:rPr>
          <w:rFonts w:asciiTheme="majorHAnsi" w:eastAsia="Times New Roman" w:hAnsiTheme="majorHAnsi" w:cstheme="minorHAnsi"/>
          <w:lang w:val="en" w:eastAsia="en-GB"/>
        </w:rPr>
        <w:t xml:space="preserve">additional resources </w:t>
      </w:r>
      <w:r w:rsidR="00664E54">
        <w:rPr>
          <w:rFonts w:asciiTheme="majorHAnsi" w:eastAsia="Times New Roman" w:hAnsiTheme="majorHAnsi" w:cstheme="minorHAnsi"/>
          <w:lang w:val="en" w:eastAsia="en-GB"/>
        </w:rPr>
        <w:t xml:space="preserve">available from the EFI </w:t>
      </w:r>
      <w:r w:rsidRPr="00773854">
        <w:rPr>
          <w:rFonts w:asciiTheme="majorHAnsi" w:eastAsia="Times New Roman" w:hAnsiTheme="majorHAnsi" w:cstheme="minorHAnsi"/>
          <w:lang w:val="en" w:eastAsia="en-GB"/>
        </w:rPr>
        <w:t>w</w:t>
      </w:r>
      <w:r w:rsidR="00D4006A">
        <w:rPr>
          <w:rFonts w:asciiTheme="majorHAnsi" w:eastAsia="Times New Roman" w:hAnsiTheme="majorHAnsi" w:cstheme="minorHAnsi"/>
          <w:lang w:val="en" w:eastAsia="en-GB"/>
        </w:rPr>
        <w:t>ould</w:t>
      </w:r>
      <w:r w:rsidRPr="00773854">
        <w:rPr>
          <w:rFonts w:asciiTheme="majorHAnsi" w:eastAsia="Times New Roman" w:hAnsiTheme="majorHAnsi" w:cstheme="minorHAnsi"/>
          <w:lang w:val="en" w:eastAsia="en-GB"/>
        </w:rPr>
        <w:t xml:space="preserve"> supplement </w:t>
      </w:r>
      <w:r w:rsidR="005E31B7">
        <w:rPr>
          <w:rFonts w:asciiTheme="majorHAnsi" w:eastAsia="Times New Roman" w:hAnsiTheme="majorHAnsi" w:cstheme="minorHAnsi"/>
          <w:lang w:val="en" w:eastAsia="en-GB"/>
        </w:rPr>
        <w:t xml:space="preserve">− </w:t>
      </w:r>
      <w:r w:rsidR="00901848" w:rsidRPr="00DD2337">
        <w:rPr>
          <w:rFonts w:asciiTheme="majorHAnsi" w:hAnsiTheme="majorHAnsi"/>
        </w:rPr>
        <w:t xml:space="preserve">not replace or duplicate </w:t>
      </w:r>
      <w:r w:rsidR="005E31B7">
        <w:rPr>
          <w:rFonts w:asciiTheme="majorHAnsi" w:hAnsiTheme="majorHAnsi"/>
        </w:rPr>
        <w:t xml:space="preserve">− </w:t>
      </w:r>
      <w:r w:rsidRPr="00773854">
        <w:rPr>
          <w:rFonts w:asciiTheme="majorHAnsi" w:eastAsia="Times New Roman" w:hAnsiTheme="majorHAnsi" w:cstheme="minorHAnsi"/>
          <w:lang w:val="en" w:eastAsia="en-GB"/>
        </w:rPr>
        <w:t>EU budget financing</w:t>
      </w:r>
      <w:r w:rsidR="0091731A">
        <w:rPr>
          <w:rFonts w:asciiTheme="majorHAnsi" w:eastAsia="Times New Roman" w:hAnsiTheme="majorHAnsi" w:cstheme="minorHAnsi"/>
          <w:lang w:val="en" w:eastAsia="en-GB"/>
        </w:rPr>
        <w:t>,</w:t>
      </w:r>
      <w:r w:rsidR="00C30AE7">
        <w:rPr>
          <w:rFonts w:asciiTheme="majorHAnsi" w:eastAsia="Times New Roman" w:hAnsiTheme="majorHAnsi" w:cstheme="minorHAnsi"/>
          <w:lang w:val="en" w:eastAsia="en-GB"/>
        </w:rPr>
        <w:t xml:space="preserve"> particularly the Cohesion Policy and the </w:t>
      </w:r>
      <w:r w:rsidR="00C30AE7" w:rsidRPr="000B3DEA">
        <w:rPr>
          <w:rFonts w:asciiTheme="majorHAnsi" w:hAnsiTheme="majorHAnsi"/>
          <w:lang w:val="en-GB"/>
        </w:rPr>
        <w:t>Connecting Europe Facility</w:t>
      </w:r>
      <w:r w:rsidR="00C30AE7">
        <w:rPr>
          <w:rFonts w:asciiTheme="majorHAnsi" w:hAnsiTheme="majorHAnsi"/>
          <w:lang w:val="en-GB"/>
        </w:rPr>
        <w:t xml:space="preserve"> (CEF) funds</w:t>
      </w:r>
      <w:r w:rsidR="0091731A">
        <w:rPr>
          <w:rFonts w:asciiTheme="majorHAnsi" w:hAnsiTheme="majorHAnsi"/>
          <w:lang w:val="en-GB"/>
        </w:rPr>
        <w:t xml:space="preserve">, </w:t>
      </w:r>
      <w:r w:rsidR="0078159F">
        <w:rPr>
          <w:rFonts w:asciiTheme="majorHAnsi" w:hAnsiTheme="majorHAnsi"/>
          <w:lang w:val="en-GB"/>
        </w:rPr>
        <w:t xml:space="preserve">the </w:t>
      </w:r>
      <w:r w:rsidR="0091731A">
        <w:rPr>
          <w:rFonts w:asciiTheme="majorHAnsi" w:hAnsiTheme="majorHAnsi"/>
          <w:lang w:val="en-GB"/>
        </w:rPr>
        <w:t>crucial instruments of the investment policy of the EU budget</w:t>
      </w:r>
      <w:r w:rsidRPr="00773854">
        <w:rPr>
          <w:rFonts w:asciiTheme="majorHAnsi" w:eastAsia="Times New Roman" w:hAnsiTheme="majorHAnsi" w:cstheme="minorHAnsi"/>
          <w:lang w:val="en" w:eastAsia="en-GB"/>
        </w:rPr>
        <w:t>.</w:t>
      </w:r>
      <w:r w:rsidR="00D4006A">
        <w:rPr>
          <w:rFonts w:asciiTheme="majorHAnsi" w:eastAsia="Times New Roman" w:hAnsiTheme="majorHAnsi" w:cstheme="minorHAnsi"/>
          <w:lang w:val="en" w:eastAsia="en-GB"/>
        </w:rPr>
        <w:t xml:space="preserve"> </w:t>
      </w:r>
      <w:r w:rsidR="0095422B">
        <w:rPr>
          <w:rFonts w:asciiTheme="majorHAnsi" w:eastAsia="Times New Roman" w:hAnsiTheme="majorHAnsi" w:cstheme="minorHAnsi"/>
          <w:lang w:val="en" w:eastAsia="en-GB"/>
        </w:rPr>
        <w:t xml:space="preserve">The </w:t>
      </w:r>
      <w:r w:rsidR="00901848" w:rsidRPr="00DD2337">
        <w:rPr>
          <w:rFonts w:asciiTheme="majorHAnsi" w:hAnsiTheme="majorHAnsi"/>
        </w:rPr>
        <w:t xml:space="preserve">EFI </w:t>
      </w:r>
      <w:r w:rsidR="0079185C">
        <w:rPr>
          <w:rFonts w:asciiTheme="majorHAnsi" w:hAnsiTheme="majorHAnsi"/>
        </w:rPr>
        <w:t>w</w:t>
      </w:r>
      <w:r w:rsidR="00901848" w:rsidRPr="00DD2337">
        <w:rPr>
          <w:rFonts w:asciiTheme="majorHAnsi" w:hAnsiTheme="majorHAnsi"/>
        </w:rPr>
        <w:t xml:space="preserve">ould leverage </w:t>
      </w:r>
      <w:r w:rsidR="00E50038">
        <w:rPr>
          <w:rFonts w:asciiTheme="majorHAnsi" w:hAnsiTheme="majorHAnsi"/>
        </w:rPr>
        <w:t>scant public resources</w:t>
      </w:r>
      <w:r w:rsidR="00EF488C">
        <w:rPr>
          <w:rFonts w:asciiTheme="majorHAnsi" w:hAnsiTheme="majorHAnsi"/>
        </w:rPr>
        <w:t xml:space="preserve"> by mobilizing private saving</w:t>
      </w:r>
      <w:r w:rsidR="008210FE">
        <w:rPr>
          <w:rFonts w:asciiTheme="majorHAnsi" w:hAnsiTheme="majorHAnsi"/>
        </w:rPr>
        <w:t>s</w:t>
      </w:r>
      <w:r w:rsidR="00EF488C">
        <w:rPr>
          <w:rFonts w:asciiTheme="majorHAnsi" w:hAnsiTheme="majorHAnsi"/>
        </w:rPr>
        <w:t xml:space="preserve">, </w:t>
      </w:r>
      <w:r w:rsidR="0095422B">
        <w:rPr>
          <w:rFonts w:asciiTheme="majorHAnsi" w:hAnsiTheme="majorHAnsi"/>
        </w:rPr>
        <w:t xml:space="preserve">and </w:t>
      </w:r>
      <w:r w:rsidR="00EF488C">
        <w:rPr>
          <w:rFonts w:asciiTheme="majorHAnsi" w:hAnsiTheme="majorHAnsi"/>
        </w:rPr>
        <w:t xml:space="preserve">fill </w:t>
      </w:r>
      <w:r w:rsidR="0095422B">
        <w:rPr>
          <w:rFonts w:asciiTheme="majorHAnsi" w:hAnsiTheme="majorHAnsi"/>
        </w:rPr>
        <w:t xml:space="preserve">the </w:t>
      </w:r>
      <w:r w:rsidR="00EF488C">
        <w:rPr>
          <w:rFonts w:asciiTheme="majorHAnsi" w:hAnsiTheme="majorHAnsi"/>
        </w:rPr>
        <w:t xml:space="preserve">co-financing gap </w:t>
      </w:r>
      <w:r w:rsidR="005E31B7">
        <w:rPr>
          <w:rFonts w:asciiTheme="majorHAnsi" w:hAnsiTheme="majorHAnsi"/>
        </w:rPr>
        <w:t xml:space="preserve">currently </w:t>
      </w:r>
      <w:r w:rsidR="00EF488C">
        <w:rPr>
          <w:rFonts w:asciiTheme="majorHAnsi" w:hAnsiTheme="majorHAnsi"/>
        </w:rPr>
        <w:t>holding back projects</w:t>
      </w:r>
      <w:r w:rsidR="00F85219">
        <w:rPr>
          <w:rFonts w:asciiTheme="majorHAnsi" w:hAnsiTheme="majorHAnsi"/>
        </w:rPr>
        <w:t>.</w:t>
      </w:r>
      <w:r w:rsidR="00EF488C">
        <w:rPr>
          <w:rFonts w:asciiTheme="majorHAnsi" w:hAnsiTheme="majorHAnsi"/>
        </w:rPr>
        <w:t xml:space="preserve"> </w:t>
      </w:r>
      <w:r w:rsidR="00F85219">
        <w:rPr>
          <w:rFonts w:asciiTheme="majorHAnsi" w:hAnsiTheme="majorHAnsi"/>
        </w:rPr>
        <w:t>I</w:t>
      </w:r>
      <w:r w:rsidR="00856F28">
        <w:rPr>
          <w:rFonts w:asciiTheme="majorHAnsi" w:hAnsiTheme="majorHAnsi"/>
        </w:rPr>
        <w:t xml:space="preserve">t </w:t>
      </w:r>
      <w:r w:rsidR="00901848" w:rsidRPr="00DD2337">
        <w:rPr>
          <w:rFonts w:asciiTheme="majorHAnsi" w:hAnsiTheme="majorHAnsi"/>
        </w:rPr>
        <w:t xml:space="preserve">would </w:t>
      </w:r>
      <w:r w:rsidR="007375EA">
        <w:rPr>
          <w:rFonts w:asciiTheme="majorHAnsi" w:hAnsiTheme="majorHAnsi"/>
        </w:rPr>
        <w:t xml:space="preserve">also </w:t>
      </w:r>
      <w:r w:rsidR="00901848" w:rsidRPr="00DD2337">
        <w:rPr>
          <w:rFonts w:asciiTheme="majorHAnsi" w:hAnsiTheme="majorHAnsi"/>
        </w:rPr>
        <w:t xml:space="preserve">help finance projects that </w:t>
      </w:r>
      <w:r w:rsidR="008210FE">
        <w:rPr>
          <w:rFonts w:asciiTheme="majorHAnsi" w:hAnsiTheme="majorHAnsi"/>
        </w:rPr>
        <w:t xml:space="preserve">- </w:t>
      </w:r>
      <w:r w:rsidR="00901848" w:rsidRPr="00DD2337">
        <w:rPr>
          <w:rFonts w:asciiTheme="majorHAnsi" w:hAnsiTheme="majorHAnsi"/>
        </w:rPr>
        <w:t xml:space="preserve">for various reasons </w:t>
      </w:r>
      <w:r w:rsidR="008210FE">
        <w:rPr>
          <w:rFonts w:asciiTheme="majorHAnsi" w:hAnsiTheme="majorHAnsi"/>
        </w:rPr>
        <w:t xml:space="preserve">- </w:t>
      </w:r>
      <w:r w:rsidR="00901848" w:rsidRPr="00DD2337">
        <w:rPr>
          <w:rFonts w:asciiTheme="majorHAnsi" w:hAnsiTheme="majorHAnsi"/>
        </w:rPr>
        <w:t>are not eligible</w:t>
      </w:r>
      <w:r w:rsidR="00856F28">
        <w:rPr>
          <w:rFonts w:asciiTheme="majorHAnsi" w:hAnsiTheme="majorHAnsi"/>
        </w:rPr>
        <w:t xml:space="preserve"> </w:t>
      </w:r>
      <w:r w:rsidR="00901848" w:rsidRPr="00DD2337">
        <w:rPr>
          <w:rFonts w:asciiTheme="majorHAnsi" w:hAnsiTheme="majorHAnsi"/>
        </w:rPr>
        <w:t>for EU budget</w:t>
      </w:r>
      <w:r w:rsidR="0095422B">
        <w:rPr>
          <w:rFonts w:asciiTheme="majorHAnsi" w:hAnsiTheme="majorHAnsi"/>
        </w:rPr>
        <w:t>ary</w:t>
      </w:r>
      <w:r w:rsidR="00901848" w:rsidRPr="00DD2337">
        <w:rPr>
          <w:rFonts w:asciiTheme="majorHAnsi" w:hAnsiTheme="majorHAnsi"/>
        </w:rPr>
        <w:t xml:space="preserve"> support.</w:t>
      </w:r>
      <w:r w:rsidR="003016D6" w:rsidRPr="003016D6">
        <w:rPr>
          <w:rFonts w:asciiTheme="majorHAnsi" w:hAnsiTheme="majorHAnsi"/>
        </w:rPr>
        <w:t xml:space="preserve"> </w:t>
      </w:r>
      <w:r w:rsidRPr="00773854">
        <w:rPr>
          <w:rFonts w:asciiTheme="majorHAnsi" w:eastAsia="Times New Roman" w:hAnsiTheme="majorHAnsi" w:cstheme="minorHAnsi"/>
          <w:lang w:eastAsia="en-GB"/>
        </w:rPr>
        <w:t xml:space="preserve">Its </w:t>
      </w:r>
      <w:r w:rsidRPr="00773854">
        <w:rPr>
          <w:rFonts w:asciiTheme="majorHAnsi" w:eastAsia="Calibri" w:hAnsiTheme="majorHAnsi" w:cstheme="minorHAnsi"/>
          <w:lang w:eastAsia="pl-PL"/>
        </w:rPr>
        <w:t>resources would not be directed to individual Member States in a pre-determined manner</w:t>
      </w:r>
      <w:r w:rsidR="0091731A">
        <w:rPr>
          <w:rFonts w:asciiTheme="majorHAnsi" w:eastAsia="Calibri" w:hAnsiTheme="majorHAnsi" w:cstheme="minorHAnsi"/>
          <w:lang w:eastAsia="pl-PL"/>
        </w:rPr>
        <w:t>, for example based on per capita income</w:t>
      </w:r>
      <w:r w:rsidRPr="00773854">
        <w:rPr>
          <w:rFonts w:asciiTheme="majorHAnsi" w:eastAsia="Calibri" w:hAnsiTheme="majorHAnsi" w:cstheme="minorHAnsi"/>
          <w:lang w:eastAsia="pl-PL"/>
        </w:rPr>
        <w:t xml:space="preserve"> </w:t>
      </w:r>
      <w:r w:rsidR="00776127" w:rsidRPr="00773854">
        <w:rPr>
          <w:rFonts w:asciiTheme="majorHAnsi" w:eastAsia="Calibri" w:hAnsiTheme="majorHAnsi" w:cstheme="minorHAnsi"/>
          <w:lang w:eastAsia="pl-PL"/>
        </w:rPr>
        <w:t>(</w:t>
      </w:r>
      <w:r w:rsidR="005E31B7">
        <w:rPr>
          <w:rFonts w:asciiTheme="majorHAnsi" w:eastAsia="Calibri" w:hAnsiTheme="majorHAnsi" w:cstheme="minorHAnsi"/>
          <w:lang w:eastAsia="pl-PL"/>
        </w:rPr>
        <w:t>no</w:t>
      </w:r>
      <w:r w:rsidRPr="00773854">
        <w:rPr>
          <w:rFonts w:asciiTheme="majorHAnsi" w:eastAsia="Calibri" w:hAnsiTheme="majorHAnsi" w:cstheme="minorHAnsi"/>
          <w:lang w:eastAsia="pl-PL"/>
        </w:rPr>
        <w:t xml:space="preserve"> ‘earmarking’), but would be targeted at </w:t>
      </w:r>
      <w:r w:rsidR="008D6230" w:rsidRPr="00773854">
        <w:rPr>
          <w:rFonts w:asciiTheme="majorHAnsi" w:eastAsia="Calibri" w:hAnsiTheme="majorHAnsi" w:cstheme="minorHAnsi"/>
          <w:lang w:eastAsia="pl-PL"/>
        </w:rPr>
        <w:t>undertakings</w:t>
      </w:r>
      <w:r w:rsidR="00AE1A3E">
        <w:rPr>
          <w:rFonts w:asciiTheme="majorHAnsi" w:eastAsia="Calibri" w:hAnsiTheme="majorHAnsi" w:cstheme="minorHAnsi"/>
          <w:lang w:eastAsia="pl-PL"/>
        </w:rPr>
        <w:t xml:space="preserve"> according to specific conditionality rules</w:t>
      </w:r>
      <w:r w:rsidRPr="00773854">
        <w:rPr>
          <w:rFonts w:asciiTheme="majorHAnsi" w:eastAsia="Times New Roman" w:hAnsiTheme="majorHAnsi" w:cstheme="minorHAnsi"/>
          <w:lang w:eastAsia="en-GB"/>
        </w:rPr>
        <w:t>.</w:t>
      </w:r>
      <w:r w:rsidR="008D6230" w:rsidRPr="00773854">
        <w:rPr>
          <w:rFonts w:asciiTheme="majorHAnsi" w:eastAsia="Times New Roman" w:hAnsiTheme="majorHAnsi" w:cstheme="minorHAnsi"/>
          <w:lang w:eastAsia="en-GB"/>
        </w:rPr>
        <w:t xml:space="preserve"> </w:t>
      </w:r>
    </w:p>
    <w:p w:rsidR="000B3DEA" w:rsidRDefault="0095422B" w:rsidP="00205EC9">
      <w:pPr>
        <w:spacing w:before="120"/>
        <w:jc w:val="both"/>
        <w:rPr>
          <w:rFonts w:asciiTheme="majorHAnsi" w:hAnsiTheme="majorHAnsi"/>
          <w:lang w:val="en-GB"/>
        </w:rPr>
      </w:pPr>
      <w:r>
        <w:rPr>
          <w:rFonts w:asciiTheme="majorHAnsi" w:hAnsiTheme="majorHAnsi"/>
        </w:rPr>
        <w:t xml:space="preserve">The </w:t>
      </w:r>
      <w:r w:rsidR="00EF488C">
        <w:rPr>
          <w:rFonts w:asciiTheme="majorHAnsi" w:hAnsiTheme="majorHAnsi"/>
          <w:lang w:val="en-GB"/>
        </w:rPr>
        <w:t>EFI would build upon the experience of</w:t>
      </w:r>
      <w:r>
        <w:rPr>
          <w:rFonts w:asciiTheme="majorHAnsi" w:hAnsiTheme="majorHAnsi"/>
          <w:lang w:val="en-GB"/>
        </w:rPr>
        <w:t xml:space="preserve"> the</w:t>
      </w:r>
      <w:r w:rsidR="00EF488C">
        <w:rPr>
          <w:rFonts w:asciiTheme="majorHAnsi" w:hAnsiTheme="majorHAnsi"/>
          <w:lang w:val="en-GB"/>
        </w:rPr>
        <w:t xml:space="preserve"> </w:t>
      </w:r>
      <w:r>
        <w:rPr>
          <w:rFonts w:asciiTheme="majorHAnsi" w:hAnsiTheme="majorHAnsi"/>
          <w:lang w:val="en-GB"/>
        </w:rPr>
        <w:t xml:space="preserve">CEF.  </w:t>
      </w:r>
      <w:r w:rsidR="005E31B7">
        <w:rPr>
          <w:rFonts w:asciiTheme="majorHAnsi" w:hAnsiTheme="majorHAnsi"/>
          <w:lang w:val="en-GB"/>
        </w:rPr>
        <w:t>Though</w:t>
      </w:r>
      <w:r w:rsidR="00EF488C">
        <w:rPr>
          <w:rFonts w:asciiTheme="majorHAnsi" w:hAnsiTheme="majorHAnsi"/>
          <w:lang w:val="en-GB"/>
        </w:rPr>
        <w:t xml:space="preserve"> a programme of crucial importance</w:t>
      </w:r>
      <w:r w:rsidR="005E31B7">
        <w:rPr>
          <w:rFonts w:asciiTheme="majorHAnsi" w:hAnsiTheme="majorHAnsi"/>
          <w:lang w:val="en-GB"/>
        </w:rPr>
        <w:t>,</w:t>
      </w:r>
      <w:r w:rsidR="00EF488C">
        <w:rPr>
          <w:rFonts w:asciiTheme="majorHAnsi" w:hAnsiTheme="majorHAnsi"/>
          <w:lang w:val="en-GB"/>
        </w:rPr>
        <w:t xml:space="preserve"> </w:t>
      </w:r>
      <w:r w:rsidR="005E31B7">
        <w:rPr>
          <w:rFonts w:asciiTheme="majorHAnsi" w:hAnsiTheme="majorHAnsi"/>
          <w:lang w:val="en-GB"/>
        </w:rPr>
        <w:t xml:space="preserve"> </w:t>
      </w:r>
      <w:r w:rsidR="006B336B">
        <w:rPr>
          <w:rFonts w:asciiTheme="majorHAnsi" w:hAnsiTheme="majorHAnsi"/>
          <w:lang w:val="en-GB"/>
        </w:rPr>
        <w:t>the CEF</w:t>
      </w:r>
      <w:r w:rsidR="00EF488C">
        <w:rPr>
          <w:rFonts w:asciiTheme="majorHAnsi" w:hAnsiTheme="majorHAnsi"/>
          <w:lang w:val="en-GB"/>
        </w:rPr>
        <w:t xml:space="preserve"> is unlikely to be decisively </w:t>
      </w:r>
      <w:r w:rsidR="000B3DEA" w:rsidRPr="000B3DEA">
        <w:rPr>
          <w:rFonts w:asciiTheme="majorHAnsi" w:hAnsiTheme="majorHAnsi"/>
          <w:lang w:val="en-GB"/>
        </w:rPr>
        <w:t>enlarge</w:t>
      </w:r>
      <w:r w:rsidR="00EF488C">
        <w:rPr>
          <w:rFonts w:asciiTheme="majorHAnsi" w:hAnsiTheme="majorHAnsi"/>
          <w:lang w:val="en-GB"/>
        </w:rPr>
        <w:t>d</w:t>
      </w:r>
      <w:r w:rsidR="000B3DEA" w:rsidRPr="000B3DEA">
        <w:rPr>
          <w:rFonts w:asciiTheme="majorHAnsi" w:hAnsiTheme="majorHAnsi"/>
          <w:lang w:val="en-GB"/>
        </w:rPr>
        <w:t xml:space="preserve"> </w:t>
      </w:r>
      <w:r w:rsidR="006A1473" w:rsidRPr="000B3DEA">
        <w:rPr>
          <w:rFonts w:asciiTheme="majorHAnsi" w:hAnsiTheme="majorHAnsi"/>
          <w:lang w:val="en-GB"/>
        </w:rPr>
        <w:t>to meet the pressing needs for pan-European infrastructure investment</w:t>
      </w:r>
      <w:r w:rsidR="005E31B7">
        <w:rPr>
          <w:rFonts w:asciiTheme="majorHAnsi" w:hAnsiTheme="majorHAnsi"/>
          <w:lang w:val="en-GB"/>
        </w:rPr>
        <w:t>,</w:t>
      </w:r>
      <w:r w:rsidR="006A1473">
        <w:rPr>
          <w:rFonts w:asciiTheme="majorHAnsi" w:hAnsiTheme="majorHAnsi"/>
          <w:lang w:val="en-GB"/>
        </w:rPr>
        <w:t xml:space="preserve"> due to the lack of fiscal space within the EU budget</w:t>
      </w:r>
      <w:r w:rsidR="000B3DEA" w:rsidRPr="000B3DEA">
        <w:rPr>
          <w:rFonts w:asciiTheme="majorHAnsi" w:hAnsiTheme="majorHAnsi"/>
          <w:lang w:val="en-GB"/>
        </w:rPr>
        <w:t xml:space="preserve">. The key difference between </w:t>
      </w:r>
      <w:r w:rsidR="00EC4CAD">
        <w:rPr>
          <w:rFonts w:asciiTheme="majorHAnsi" w:hAnsiTheme="majorHAnsi"/>
          <w:lang w:val="en-GB"/>
        </w:rPr>
        <w:t xml:space="preserve">the </w:t>
      </w:r>
      <w:r w:rsidR="000B3DEA" w:rsidRPr="000B3DEA">
        <w:rPr>
          <w:rFonts w:asciiTheme="majorHAnsi" w:hAnsiTheme="majorHAnsi"/>
          <w:lang w:val="en-GB"/>
        </w:rPr>
        <w:t xml:space="preserve">CEF and </w:t>
      </w:r>
      <w:r w:rsidR="00EC4CAD">
        <w:rPr>
          <w:rFonts w:asciiTheme="majorHAnsi" w:hAnsiTheme="majorHAnsi"/>
          <w:lang w:val="en-GB"/>
        </w:rPr>
        <w:t xml:space="preserve">the </w:t>
      </w:r>
      <w:r w:rsidR="000B3DEA" w:rsidRPr="000B3DEA">
        <w:rPr>
          <w:rFonts w:asciiTheme="majorHAnsi" w:hAnsiTheme="majorHAnsi"/>
          <w:lang w:val="en-GB"/>
        </w:rPr>
        <w:t xml:space="preserve">EFI in this respect is that </w:t>
      </w:r>
      <w:r w:rsidR="00EC4CAD">
        <w:rPr>
          <w:rFonts w:asciiTheme="majorHAnsi" w:hAnsiTheme="majorHAnsi"/>
          <w:lang w:val="en-GB"/>
        </w:rPr>
        <w:t xml:space="preserve">the </w:t>
      </w:r>
      <w:r w:rsidR="000B3DEA" w:rsidRPr="000B3DEA">
        <w:rPr>
          <w:rFonts w:asciiTheme="majorHAnsi" w:hAnsiTheme="majorHAnsi"/>
          <w:lang w:val="en-GB"/>
        </w:rPr>
        <w:t xml:space="preserve">CEF </w:t>
      </w:r>
      <w:r w:rsidR="009F3D9C">
        <w:rPr>
          <w:rFonts w:asciiTheme="majorHAnsi" w:hAnsiTheme="majorHAnsi"/>
          <w:lang w:val="en-GB"/>
        </w:rPr>
        <w:t>is</w:t>
      </w:r>
      <w:r w:rsidR="000B3DEA" w:rsidRPr="000B3DEA">
        <w:rPr>
          <w:rFonts w:asciiTheme="majorHAnsi" w:hAnsiTheme="majorHAnsi"/>
          <w:lang w:val="en-GB"/>
        </w:rPr>
        <w:t xml:space="preserve"> dependent on </w:t>
      </w:r>
      <w:r>
        <w:rPr>
          <w:rFonts w:asciiTheme="majorHAnsi" w:hAnsiTheme="majorHAnsi"/>
          <w:lang w:val="en-GB"/>
        </w:rPr>
        <w:t xml:space="preserve">the </w:t>
      </w:r>
      <w:r w:rsidR="000B3DEA" w:rsidRPr="000B3DEA">
        <w:rPr>
          <w:rFonts w:asciiTheme="majorHAnsi" w:hAnsiTheme="majorHAnsi"/>
          <w:lang w:val="en-GB"/>
        </w:rPr>
        <w:t xml:space="preserve">EU budget as it operates </w:t>
      </w:r>
      <w:r w:rsidR="005524D9">
        <w:rPr>
          <w:rFonts w:asciiTheme="majorHAnsi" w:hAnsiTheme="majorHAnsi"/>
          <w:lang w:val="en-GB"/>
        </w:rPr>
        <w:t xml:space="preserve">mainly </w:t>
      </w:r>
      <w:r w:rsidR="000B3DEA" w:rsidRPr="000B3DEA">
        <w:rPr>
          <w:rFonts w:asciiTheme="majorHAnsi" w:hAnsiTheme="majorHAnsi"/>
          <w:lang w:val="en-GB"/>
        </w:rPr>
        <w:t>through grants</w:t>
      </w:r>
      <w:r w:rsidR="0078159F">
        <w:rPr>
          <w:rFonts w:asciiTheme="majorHAnsi" w:hAnsiTheme="majorHAnsi"/>
          <w:lang w:val="en-GB"/>
        </w:rPr>
        <w:t xml:space="preserve"> (only up to 10% of its budget may be leveraged through the financial instruments)</w:t>
      </w:r>
      <w:r w:rsidR="009F3D9C">
        <w:rPr>
          <w:rFonts w:asciiTheme="majorHAnsi" w:hAnsiTheme="majorHAnsi"/>
          <w:lang w:val="en-GB"/>
        </w:rPr>
        <w:t>;</w:t>
      </w:r>
      <w:r w:rsidR="009F3D9C" w:rsidRPr="000B3DEA">
        <w:rPr>
          <w:rFonts w:asciiTheme="majorHAnsi" w:hAnsiTheme="majorHAnsi"/>
          <w:lang w:val="en-GB"/>
        </w:rPr>
        <w:t xml:space="preserve"> </w:t>
      </w:r>
      <w:r w:rsidR="009F3D9C">
        <w:rPr>
          <w:rFonts w:asciiTheme="majorHAnsi" w:hAnsiTheme="majorHAnsi"/>
          <w:lang w:val="en-GB"/>
        </w:rPr>
        <w:t>mean</w:t>
      </w:r>
      <w:r w:rsidR="000B3DEA" w:rsidRPr="000B3DEA">
        <w:rPr>
          <w:rFonts w:asciiTheme="majorHAnsi" w:hAnsiTheme="majorHAnsi"/>
          <w:lang w:val="en-GB"/>
        </w:rPr>
        <w:t>while</w:t>
      </w:r>
      <w:r w:rsidR="009F3D9C">
        <w:rPr>
          <w:rFonts w:asciiTheme="majorHAnsi" w:hAnsiTheme="majorHAnsi"/>
          <w:lang w:val="en-GB"/>
        </w:rPr>
        <w:t>,</w:t>
      </w:r>
      <w:r w:rsidR="000B3DEA" w:rsidRPr="000B3DEA">
        <w:rPr>
          <w:rFonts w:asciiTheme="majorHAnsi" w:hAnsiTheme="majorHAnsi"/>
          <w:lang w:val="en-GB"/>
        </w:rPr>
        <w:t xml:space="preserve"> </w:t>
      </w:r>
      <w:r>
        <w:rPr>
          <w:rFonts w:asciiTheme="majorHAnsi" w:hAnsiTheme="majorHAnsi"/>
          <w:lang w:val="en-GB"/>
        </w:rPr>
        <w:t xml:space="preserve">the </w:t>
      </w:r>
      <w:r w:rsidR="000B3DEA" w:rsidRPr="000B3DEA">
        <w:rPr>
          <w:rFonts w:asciiTheme="majorHAnsi" w:hAnsiTheme="majorHAnsi"/>
          <w:lang w:val="en-GB"/>
        </w:rPr>
        <w:t>EFI, by investing in equity, can finance itself from private saving</w:t>
      </w:r>
      <w:r w:rsidR="009F3D9C">
        <w:rPr>
          <w:rFonts w:asciiTheme="majorHAnsi" w:hAnsiTheme="majorHAnsi"/>
          <w:lang w:val="en-GB"/>
        </w:rPr>
        <w:t xml:space="preserve"> via</w:t>
      </w:r>
      <w:r w:rsidR="000B3DEA" w:rsidRPr="000B3DEA">
        <w:rPr>
          <w:rFonts w:asciiTheme="majorHAnsi" w:hAnsiTheme="majorHAnsi"/>
          <w:lang w:val="en-GB"/>
        </w:rPr>
        <w:t xml:space="preserve"> financial markets.</w:t>
      </w:r>
    </w:p>
    <w:p w:rsidR="00F11F45" w:rsidRDefault="00D225B4" w:rsidP="00205EC9">
      <w:pPr>
        <w:spacing w:before="120"/>
        <w:jc w:val="both"/>
        <w:rPr>
          <w:rFonts w:asciiTheme="majorHAnsi" w:hAnsiTheme="majorHAnsi"/>
          <w:lang w:val="en-GB"/>
        </w:rPr>
      </w:pPr>
      <w:r>
        <w:rPr>
          <w:rFonts w:asciiTheme="majorHAnsi" w:hAnsiTheme="majorHAnsi"/>
          <w:lang w:val="en-GB"/>
        </w:rPr>
        <w:t xml:space="preserve">The EFI would also </w:t>
      </w:r>
      <w:r w:rsidR="00CF6DF8">
        <w:rPr>
          <w:rFonts w:asciiTheme="majorHAnsi" w:hAnsiTheme="majorHAnsi"/>
          <w:lang w:val="en-GB"/>
        </w:rPr>
        <w:t xml:space="preserve">provide </w:t>
      </w:r>
      <w:r w:rsidR="00E40118">
        <w:rPr>
          <w:rFonts w:asciiTheme="majorHAnsi" w:hAnsiTheme="majorHAnsi"/>
          <w:lang w:val="en-GB"/>
        </w:rPr>
        <w:t xml:space="preserve">initial </w:t>
      </w:r>
      <w:r w:rsidR="00CF6DF8">
        <w:rPr>
          <w:rFonts w:asciiTheme="majorHAnsi" w:hAnsiTheme="majorHAnsi"/>
          <w:lang w:val="en-GB"/>
        </w:rPr>
        <w:t>funding</w:t>
      </w:r>
      <w:r w:rsidR="00FD0ADC">
        <w:rPr>
          <w:rFonts w:asciiTheme="majorHAnsi" w:hAnsiTheme="majorHAnsi"/>
          <w:lang w:val="en-GB"/>
        </w:rPr>
        <w:t xml:space="preserve"> and </w:t>
      </w:r>
      <w:r w:rsidR="00CF6DF8">
        <w:rPr>
          <w:rFonts w:asciiTheme="majorHAnsi" w:hAnsiTheme="majorHAnsi"/>
          <w:lang w:val="en-GB"/>
        </w:rPr>
        <w:t xml:space="preserve">hence </w:t>
      </w:r>
      <w:r w:rsidR="00FD0ADC">
        <w:rPr>
          <w:rFonts w:asciiTheme="majorHAnsi" w:hAnsiTheme="majorHAnsi"/>
          <w:lang w:val="en-GB"/>
        </w:rPr>
        <w:t xml:space="preserve">boost the scale of </w:t>
      </w:r>
      <w:r w:rsidR="00FD0ADC" w:rsidRPr="00D225B4">
        <w:rPr>
          <w:rFonts w:asciiTheme="majorHAnsi" w:hAnsiTheme="majorHAnsi"/>
        </w:rPr>
        <w:t xml:space="preserve">financial </w:t>
      </w:r>
      <w:r w:rsidR="00FD0ADC">
        <w:rPr>
          <w:rFonts w:asciiTheme="majorHAnsi" w:hAnsiTheme="majorHAnsi"/>
        </w:rPr>
        <w:t>instruments improving</w:t>
      </w:r>
      <w:r w:rsidR="00FD0ADC" w:rsidRPr="00D225B4">
        <w:rPr>
          <w:rFonts w:asciiTheme="majorHAnsi" w:hAnsiTheme="majorHAnsi"/>
        </w:rPr>
        <w:t xml:space="preserve"> </w:t>
      </w:r>
      <w:r w:rsidR="00FD0ADC">
        <w:rPr>
          <w:rFonts w:asciiTheme="majorHAnsi" w:hAnsiTheme="majorHAnsi"/>
        </w:rPr>
        <w:t>access to finance for SMEs</w:t>
      </w:r>
      <w:r w:rsidR="00CF6DF8">
        <w:rPr>
          <w:rFonts w:asciiTheme="majorHAnsi" w:hAnsiTheme="majorHAnsi"/>
        </w:rPr>
        <w:t xml:space="preserve"> and startups</w:t>
      </w:r>
      <w:r w:rsidR="00FD0ADC">
        <w:rPr>
          <w:rFonts w:asciiTheme="majorHAnsi" w:hAnsiTheme="majorHAnsi"/>
        </w:rPr>
        <w:t xml:space="preserve">, such as </w:t>
      </w:r>
      <w:r w:rsidR="00F11F45">
        <w:rPr>
          <w:rFonts w:asciiTheme="majorHAnsi" w:hAnsiTheme="majorHAnsi"/>
        </w:rPr>
        <w:t xml:space="preserve">joint risk-sharing financial instruments between </w:t>
      </w:r>
      <w:r w:rsidR="00FD0ADC">
        <w:rPr>
          <w:rFonts w:asciiTheme="majorHAnsi" w:hAnsiTheme="majorHAnsi"/>
        </w:rPr>
        <w:t>the E</w:t>
      </w:r>
      <w:r w:rsidR="00FD0ADC" w:rsidRPr="00D225B4">
        <w:rPr>
          <w:rFonts w:asciiTheme="majorHAnsi" w:hAnsiTheme="majorHAnsi"/>
        </w:rPr>
        <w:t>uropean Commission</w:t>
      </w:r>
      <w:r w:rsidR="00FD0ADC">
        <w:rPr>
          <w:rFonts w:asciiTheme="majorHAnsi" w:hAnsiTheme="majorHAnsi"/>
        </w:rPr>
        <w:t xml:space="preserve"> and </w:t>
      </w:r>
      <w:r w:rsidR="00F11F45">
        <w:rPr>
          <w:rFonts w:asciiTheme="majorHAnsi" w:hAnsiTheme="majorHAnsi"/>
        </w:rPr>
        <w:t>the EIB Group</w:t>
      </w:r>
      <w:r w:rsidR="007465B3">
        <w:rPr>
          <w:rFonts w:asciiTheme="majorHAnsi" w:hAnsiTheme="majorHAnsi"/>
        </w:rPr>
        <w:t>.</w:t>
      </w:r>
    </w:p>
    <w:p w:rsidR="00EF488C" w:rsidRPr="00150C8A" w:rsidRDefault="006A1473" w:rsidP="00150C8A">
      <w:pPr>
        <w:spacing w:before="360"/>
        <w:jc w:val="both"/>
        <w:rPr>
          <w:rFonts w:asciiTheme="majorHAnsi" w:eastAsia="Times New Roman" w:hAnsiTheme="majorHAnsi" w:cstheme="minorHAnsi"/>
          <w:i/>
          <w:lang w:eastAsia="en-GB"/>
        </w:rPr>
      </w:pPr>
      <w:r w:rsidRPr="00150C8A">
        <w:rPr>
          <w:rFonts w:asciiTheme="majorHAnsi" w:eastAsia="Times New Roman" w:hAnsiTheme="majorHAnsi" w:cstheme="minorHAnsi"/>
          <w:i/>
          <w:lang w:eastAsia="en-GB"/>
        </w:rPr>
        <w:t>Focus on equity rather than debt instruments</w:t>
      </w:r>
      <w:r w:rsidR="00EF488C" w:rsidRPr="00150C8A">
        <w:rPr>
          <w:rFonts w:asciiTheme="majorHAnsi" w:eastAsia="Times New Roman" w:hAnsiTheme="majorHAnsi" w:cstheme="minorHAnsi"/>
          <w:i/>
          <w:lang w:eastAsia="en-GB"/>
        </w:rPr>
        <w:t xml:space="preserve"> </w:t>
      </w:r>
    </w:p>
    <w:p w:rsidR="005E48D3" w:rsidRDefault="009F3D9C" w:rsidP="00205EC9">
      <w:pPr>
        <w:spacing w:before="120"/>
        <w:jc w:val="both"/>
        <w:rPr>
          <w:rFonts w:asciiTheme="majorHAnsi" w:eastAsia="Times New Roman" w:hAnsiTheme="majorHAnsi" w:cstheme="minorHAnsi"/>
          <w:lang w:val="en" w:eastAsia="en-GB"/>
        </w:rPr>
      </w:pPr>
      <w:r>
        <w:rPr>
          <w:rFonts w:asciiTheme="majorHAnsi" w:eastAsia="Times New Roman" w:hAnsiTheme="majorHAnsi" w:cstheme="minorHAnsi"/>
          <w:lang w:val="en" w:eastAsia="en-GB"/>
        </w:rPr>
        <w:t xml:space="preserve">The </w:t>
      </w:r>
      <w:r w:rsidR="006A1473">
        <w:rPr>
          <w:rFonts w:asciiTheme="majorHAnsi" w:eastAsia="Times New Roman" w:hAnsiTheme="majorHAnsi" w:cstheme="minorHAnsi"/>
          <w:lang w:val="en" w:eastAsia="en-GB"/>
        </w:rPr>
        <w:t xml:space="preserve">EFI would complement </w:t>
      </w:r>
      <w:r w:rsidR="007945F0">
        <w:rPr>
          <w:rFonts w:asciiTheme="majorHAnsi" w:eastAsia="Times New Roman" w:hAnsiTheme="majorHAnsi" w:cstheme="minorHAnsi"/>
          <w:lang w:val="en" w:eastAsia="en-GB"/>
        </w:rPr>
        <w:t xml:space="preserve">the </w:t>
      </w:r>
      <w:r w:rsidR="006A1473">
        <w:rPr>
          <w:rFonts w:asciiTheme="majorHAnsi" w:eastAsia="Times New Roman" w:hAnsiTheme="majorHAnsi" w:cstheme="minorHAnsi"/>
          <w:lang w:val="en" w:eastAsia="en-GB"/>
        </w:rPr>
        <w:t>operations of the European Investment Bank, which support</w:t>
      </w:r>
      <w:r w:rsidR="007945F0">
        <w:rPr>
          <w:rFonts w:asciiTheme="majorHAnsi" w:eastAsia="Times New Roman" w:hAnsiTheme="majorHAnsi" w:cstheme="minorHAnsi"/>
          <w:lang w:val="en" w:eastAsia="en-GB"/>
        </w:rPr>
        <w:t>s</w:t>
      </w:r>
      <w:r w:rsidR="006A1473">
        <w:rPr>
          <w:rFonts w:asciiTheme="majorHAnsi" w:eastAsia="Times New Roman" w:hAnsiTheme="majorHAnsi" w:cstheme="minorHAnsi"/>
          <w:lang w:val="en" w:eastAsia="en-GB"/>
        </w:rPr>
        <w:t xml:space="preserve"> investment projects across Europe mainly through </w:t>
      </w:r>
      <w:r w:rsidR="006B336B">
        <w:rPr>
          <w:rFonts w:asciiTheme="majorHAnsi" w:eastAsia="Times New Roman" w:hAnsiTheme="majorHAnsi" w:cstheme="minorHAnsi"/>
          <w:lang w:val="en" w:eastAsia="en-GB"/>
        </w:rPr>
        <w:t xml:space="preserve">lending. In contrast, the EFI would be, </w:t>
      </w:r>
      <w:r w:rsidR="007945F0">
        <w:rPr>
          <w:rFonts w:asciiTheme="majorHAnsi" w:eastAsia="Times New Roman" w:hAnsiTheme="majorHAnsi" w:cstheme="minorHAnsi"/>
          <w:lang w:val="en" w:eastAsia="en-GB"/>
        </w:rPr>
        <w:t xml:space="preserve">providing </w:t>
      </w:r>
      <w:r w:rsidR="006A1473">
        <w:rPr>
          <w:rFonts w:asciiTheme="majorHAnsi" w:eastAsia="Times New Roman" w:hAnsiTheme="majorHAnsi" w:cstheme="minorHAnsi"/>
          <w:lang w:val="en" w:eastAsia="en-GB"/>
        </w:rPr>
        <w:t xml:space="preserve">equity and quasi-equity instruments. </w:t>
      </w:r>
      <w:r w:rsidR="008E5419">
        <w:rPr>
          <w:rFonts w:asciiTheme="majorHAnsi" w:eastAsia="Times New Roman" w:hAnsiTheme="majorHAnsi" w:cstheme="minorHAnsi"/>
          <w:lang w:val="en" w:eastAsia="en-GB"/>
        </w:rPr>
        <w:t xml:space="preserve">Equity investment would overcome the challenge of low demand for loans </w:t>
      </w:r>
      <w:r w:rsidR="007945F0">
        <w:rPr>
          <w:rFonts w:asciiTheme="majorHAnsi" w:eastAsia="Times New Roman" w:hAnsiTheme="majorHAnsi" w:cstheme="minorHAnsi"/>
          <w:lang w:val="en" w:eastAsia="en-GB"/>
        </w:rPr>
        <w:t>caused by</w:t>
      </w:r>
      <w:r w:rsidR="008E5419">
        <w:rPr>
          <w:rFonts w:asciiTheme="majorHAnsi" w:eastAsia="Times New Roman" w:hAnsiTheme="majorHAnsi" w:cstheme="minorHAnsi"/>
          <w:lang w:val="en" w:eastAsia="en-GB"/>
        </w:rPr>
        <w:t xml:space="preserve"> the ongoing deleveraging process in both </w:t>
      </w:r>
      <w:r w:rsidR="007945F0">
        <w:rPr>
          <w:rFonts w:asciiTheme="majorHAnsi" w:eastAsia="Times New Roman" w:hAnsiTheme="majorHAnsi" w:cstheme="minorHAnsi"/>
          <w:lang w:val="en" w:eastAsia="en-GB"/>
        </w:rPr>
        <w:t xml:space="preserve">the </w:t>
      </w:r>
      <w:r w:rsidR="008E5419">
        <w:rPr>
          <w:rFonts w:asciiTheme="majorHAnsi" w:eastAsia="Times New Roman" w:hAnsiTheme="majorHAnsi" w:cstheme="minorHAnsi"/>
          <w:lang w:val="en" w:eastAsia="en-GB"/>
        </w:rPr>
        <w:t xml:space="preserve">public and private sectors. </w:t>
      </w:r>
    </w:p>
    <w:p w:rsidR="005E48D3" w:rsidRDefault="008E5419" w:rsidP="00205EC9">
      <w:pPr>
        <w:spacing w:before="120"/>
        <w:jc w:val="both"/>
        <w:rPr>
          <w:rFonts w:asciiTheme="majorHAnsi" w:eastAsia="Times New Roman" w:hAnsiTheme="majorHAnsi" w:cstheme="minorHAnsi"/>
          <w:lang w:eastAsia="en-GB"/>
        </w:rPr>
      </w:pPr>
      <w:r w:rsidRPr="00773854">
        <w:rPr>
          <w:rFonts w:asciiTheme="majorHAnsi" w:eastAsia="Times New Roman" w:hAnsiTheme="majorHAnsi" w:cstheme="minorHAnsi"/>
          <w:lang w:eastAsia="en-GB"/>
        </w:rPr>
        <w:t>Direct participation of</w:t>
      </w:r>
      <w:r w:rsidR="007945F0">
        <w:rPr>
          <w:rFonts w:asciiTheme="majorHAnsi" w:eastAsia="Times New Roman" w:hAnsiTheme="majorHAnsi" w:cstheme="minorHAnsi"/>
          <w:lang w:eastAsia="en-GB"/>
        </w:rPr>
        <w:t xml:space="preserve"> the</w:t>
      </w:r>
      <w:r w:rsidRPr="00773854">
        <w:rPr>
          <w:rFonts w:asciiTheme="majorHAnsi" w:eastAsia="Times New Roman" w:hAnsiTheme="majorHAnsi" w:cstheme="minorHAnsi"/>
          <w:lang w:eastAsia="en-GB"/>
        </w:rPr>
        <w:t xml:space="preserve"> </w:t>
      </w:r>
      <w:r>
        <w:rPr>
          <w:rFonts w:asciiTheme="majorHAnsi" w:eastAsia="Times New Roman" w:hAnsiTheme="majorHAnsi" w:cstheme="minorHAnsi"/>
          <w:lang w:eastAsia="en-GB"/>
        </w:rPr>
        <w:t>EFI</w:t>
      </w:r>
      <w:r w:rsidRPr="00773854">
        <w:rPr>
          <w:rFonts w:asciiTheme="majorHAnsi" w:eastAsia="Times New Roman" w:hAnsiTheme="majorHAnsi" w:cstheme="minorHAnsi"/>
          <w:lang w:val="en" w:eastAsia="en-GB"/>
        </w:rPr>
        <w:t xml:space="preserve"> would </w:t>
      </w:r>
      <w:r w:rsidR="007945F0">
        <w:rPr>
          <w:rFonts w:asciiTheme="majorHAnsi" w:eastAsia="Times New Roman" w:hAnsiTheme="majorHAnsi" w:cstheme="minorHAnsi"/>
          <w:lang w:val="en" w:eastAsia="en-GB"/>
        </w:rPr>
        <w:t>target</w:t>
      </w:r>
      <w:r w:rsidRPr="00773854">
        <w:rPr>
          <w:rFonts w:asciiTheme="majorHAnsi" w:eastAsia="Times New Roman" w:hAnsiTheme="majorHAnsi" w:cstheme="minorHAnsi"/>
          <w:lang w:val="en" w:eastAsia="en-GB"/>
        </w:rPr>
        <w:t xml:space="preserve"> areas </w:t>
      </w:r>
      <w:r w:rsidR="005E31B7">
        <w:rPr>
          <w:rFonts w:asciiTheme="majorHAnsi" w:eastAsia="Times New Roman" w:hAnsiTheme="majorHAnsi" w:cstheme="minorHAnsi"/>
          <w:lang w:val="en" w:eastAsia="en-GB"/>
        </w:rPr>
        <w:t>of</w:t>
      </w:r>
      <w:r w:rsidR="005E31B7" w:rsidRPr="00773854">
        <w:rPr>
          <w:rFonts w:asciiTheme="majorHAnsi" w:eastAsia="Times New Roman" w:hAnsiTheme="majorHAnsi" w:cstheme="minorHAnsi"/>
          <w:lang w:val="en" w:eastAsia="en-GB"/>
        </w:rPr>
        <w:t xml:space="preserve"> </w:t>
      </w:r>
      <w:r w:rsidRPr="00773854">
        <w:rPr>
          <w:rFonts w:asciiTheme="majorHAnsi" w:eastAsia="Times New Roman" w:hAnsiTheme="majorHAnsi" w:cstheme="minorHAnsi"/>
          <w:lang w:val="en" w:eastAsia="en-GB"/>
        </w:rPr>
        <w:t xml:space="preserve">untapped development potential </w:t>
      </w:r>
      <w:r>
        <w:rPr>
          <w:rFonts w:asciiTheme="majorHAnsi" w:eastAsia="Times New Roman" w:hAnsiTheme="majorHAnsi" w:cstheme="minorHAnsi"/>
          <w:lang w:val="en" w:eastAsia="en-GB"/>
        </w:rPr>
        <w:t xml:space="preserve">where risk is relatively higher. It </w:t>
      </w:r>
      <w:r w:rsidR="00EF488C" w:rsidRPr="00773854">
        <w:rPr>
          <w:rFonts w:asciiTheme="majorHAnsi" w:eastAsia="Times New Roman" w:hAnsiTheme="majorHAnsi" w:cstheme="minorHAnsi"/>
          <w:lang w:eastAsia="en-GB"/>
        </w:rPr>
        <w:t xml:space="preserve">would </w:t>
      </w:r>
      <w:r w:rsidR="007945F0">
        <w:rPr>
          <w:rFonts w:asciiTheme="majorHAnsi" w:eastAsia="Times New Roman" w:hAnsiTheme="majorHAnsi" w:cstheme="minorHAnsi"/>
          <w:lang w:eastAsia="en-GB"/>
        </w:rPr>
        <w:t>attract</w:t>
      </w:r>
      <w:r w:rsidR="00EF488C" w:rsidRPr="00773854">
        <w:rPr>
          <w:rFonts w:asciiTheme="majorHAnsi" w:eastAsia="Times New Roman" w:hAnsiTheme="majorHAnsi" w:cstheme="minorHAnsi"/>
          <w:lang w:eastAsia="en-GB"/>
        </w:rPr>
        <w:t xml:space="preserve"> private investors, </w:t>
      </w:r>
      <w:r w:rsidR="007945F0">
        <w:rPr>
          <w:rFonts w:asciiTheme="majorHAnsi" w:eastAsia="Times New Roman" w:hAnsiTheme="majorHAnsi" w:cstheme="minorHAnsi"/>
          <w:lang w:eastAsia="en-GB"/>
        </w:rPr>
        <w:t>who currently</w:t>
      </w:r>
      <w:r w:rsidR="00EF488C" w:rsidRPr="00773854">
        <w:rPr>
          <w:rFonts w:asciiTheme="majorHAnsi" w:eastAsia="Times New Roman" w:hAnsiTheme="majorHAnsi" w:cstheme="minorHAnsi"/>
          <w:lang w:eastAsia="en-GB"/>
        </w:rPr>
        <w:t xml:space="preserve"> tend to consider large-scale infrastructure projects too risky in terms of future demand, regulatory environment and profitability.</w:t>
      </w:r>
      <w:r w:rsidR="007945F0">
        <w:rPr>
          <w:rFonts w:asciiTheme="majorHAnsi" w:eastAsia="Times New Roman" w:hAnsiTheme="majorHAnsi" w:cstheme="minorHAnsi"/>
          <w:lang w:eastAsia="en-GB"/>
        </w:rPr>
        <w:t xml:space="preserve">  Involvement of the EFI would make such projects more “bankable”.</w:t>
      </w:r>
      <w:r w:rsidR="007F4AAB">
        <w:rPr>
          <w:rFonts w:asciiTheme="majorHAnsi" w:eastAsia="Times New Roman" w:hAnsiTheme="majorHAnsi" w:cstheme="minorHAnsi"/>
          <w:lang w:eastAsia="en-GB"/>
        </w:rPr>
        <w:t xml:space="preserve"> It would also help to overcome the problem of funding </w:t>
      </w:r>
      <w:r w:rsidR="007945F0">
        <w:rPr>
          <w:rFonts w:asciiTheme="majorHAnsi" w:eastAsia="Times New Roman" w:hAnsiTheme="majorHAnsi" w:cstheme="minorHAnsi"/>
          <w:lang w:eastAsia="en-GB"/>
        </w:rPr>
        <w:t xml:space="preserve">the </w:t>
      </w:r>
      <w:r w:rsidR="007F4AAB">
        <w:rPr>
          <w:rFonts w:asciiTheme="majorHAnsi" w:eastAsia="Times New Roman" w:hAnsiTheme="majorHAnsi" w:cstheme="minorHAnsi"/>
          <w:lang w:eastAsia="en-GB"/>
        </w:rPr>
        <w:t>construction phase of infrastructure project</w:t>
      </w:r>
      <w:r w:rsidR="007945F0">
        <w:rPr>
          <w:rFonts w:asciiTheme="majorHAnsi" w:eastAsia="Times New Roman" w:hAnsiTheme="majorHAnsi" w:cstheme="minorHAnsi"/>
          <w:lang w:eastAsia="en-GB"/>
        </w:rPr>
        <w:t>s</w:t>
      </w:r>
      <w:r w:rsidR="007F4AAB">
        <w:rPr>
          <w:rFonts w:asciiTheme="majorHAnsi" w:eastAsia="Times New Roman" w:hAnsiTheme="majorHAnsi" w:cstheme="minorHAnsi"/>
          <w:lang w:eastAsia="en-GB"/>
        </w:rPr>
        <w:t xml:space="preserve">, which seems to be too risky </w:t>
      </w:r>
      <w:r w:rsidR="007945F0">
        <w:rPr>
          <w:rFonts w:asciiTheme="majorHAnsi" w:eastAsia="Times New Roman" w:hAnsiTheme="majorHAnsi" w:cstheme="minorHAnsi"/>
          <w:lang w:eastAsia="en-GB"/>
        </w:rPr>
        <w:t xml:space="preserve">for </w:t>
      </w:r>
      <w:r w:rsidR="007F4AAB">
        <w:rPr>
          <w:rFonts w:asciiTheme="majorHAnsi" w:eastAsia="Times New Roman" w:hAnsiTheme="majorHAnsi" w:cstheme="minorHAnsi"/>
          <w:lang w:eastAsia="en-GB"/>
        </w:rPr>
        <w:t>most institutional long-term investors</w:t>
      </w:r>
      <w:r w:rsidR="007945F0">
        <w:rPr>
          <w:rFonts w:asciiTheme="majorHAnsi" w:eastAsia="Times New Roman" w:hAnsiTheme="majorHAnsi" w:cstheme="minorHAnsi"/>
          <w:lang w:eastAsia="en-GB"/>
        </w:rPr>
        <w:t xml:space="preserve">.  </w:t>
      </w:r>
    </w:p>
    <w:p w:rsidR="00EF488C" w:rsidRPr="00245F82" w:rsidRDefault="007945F0" w:rsidP="00205EC9">
      <w:pPr>
        <w:spacing w:before="120"/>
        <w:jc w:val="both"/>
        <w:rPr>
          <w:rFonts w:asciiTheme="majorHAnsi" w:hAnsiTheme="majorHAnsi"/>
          <w:lang w:val="en"/>
        </w:rPr>
      </w:pPr>
      <w:r>
        <w:rPr>
          <w:rFonts w:asciiTheme="majorHAnsi" w:eastAsia="Times New Roman" w:hAnsiTheme="majorHAnsi" w:cstheme="minorHAnsi"/>
          <w:lang w:eastAsia="en-GB"/>
        </w:rPr>
        <w:t>Finally</w:t>
      </w:r>
      <w:r w:rsidR="007F4AAB">
        <w:rPr>
          <w:rFonts w:asciiTheme="majorHAnsi" w:eastAsia="Times New Roman" w:hAnsiTheme="majorHAnsi" w:cstheme="minorHAnsi"/>
          <w:lang w:eastAsia="en-GB"/>
        </w:rPr>
        <w:t>,</w:t>
      </w:r>
      <w:r>
        <w:rPr>
          <w:rFonts w:asciiTheme="majorHAnsi" w:eastAsia="Times New Roman" w:hAnsiTheme="majorHAnsi" w:cstheme="minorHAnsi"/>
          <w:lang w:eastAsia="en-GB"/>
        </w:rPr>
        <w:t xml:space="preserve"> </w:t>
      </w:r>
      <w:r w:rsidR="007E4834">
        <w:rPr>
          <w:rFonts w:asciiTheme="majorHAnsi" w:eastAsia="Times New Roman" w:hAnsiTheme="majorHAnsi" w:cstheme="minorHAnsi"/>
          <w:lang w:eastAsia="en-GB"/>
        </w:rPr>
        <w:t xml:space="preserve">through its equity involvement </w:t>
      </w:r>
      <w:r w:rsidR="00C25318">
        <w:rPr>
          <w:rFonts w:asciiTheme="majorHAnsi" w:eastAsia="Times New Roman" w:hAnsiTheme="majorHAnsi" w:cstheme="minorHAnsi"/>
          <w:lang w:eastAsia="en-GB"/>
        </w:rPr>
        <w:t>(</w:t>
      </w:r>
      <w:r w:rsidR="007E4834">
        <w:rPr>
          <w:rFonts w:asciiTheme="majorHAnsi" w:eastAsia="Times New Roman" w:hAnsiTheme="majorHAnsi" w:cstheme="minorHAnsi"/>
          <w:lang w:eastAsia="en-GB"/>
        </w:rPr>
        <w:t>in the projects or in other financial instruments</w:t>
      </w:r>
      <w:r w:rsidR="00C25318">
        <w:rPr>
          <w:rFonts w:asciiTheme="majorHAnsi" w:eastAsia="Times New Roman" w:hAnsiTheme="majorHAnsi" w:cstheme="minorHAnsi"/>
          <w:lang w:eastAsia="en-GB"/>
        </w:rPr>
        <w:t>),</w:t>
      </w:r>
      <w:r w:rsidR="007E4834">
        <w:rPr>
          <w:rFonts w:asciiTheme="majorHAnsi" w:eastAsia="Times New Roman" w:hAnsiTheme="majorHAnsi" w:cstheme="minorHAnsi"/>
          <w:lang w:eastAsia="en-GB"/>
        </w:rPr>
        <w:t xml:space="preserve"> </w:t>
      </w:r>
      <w:r>
        <w:rPr>
          <w:rFonts w:asciiTheme="majorHAnsi" w:eastAsia="Times New Roman" w:hAnsiTheme="majorHAnsi" w:cstheme="minorHAnsi"/>
          <w:lang w:eastAsia="en-GB"/>
        </w:rPr>
        <w:t>the EFI would compensate for the</w:t>
      </w:r>
      <w:r w:rsidR="007F4AAB">
        <w:rPr>
          <w:rFonts w:asciiTheme="majorHAnsi" w:eastAsia="Times New Roman" w:hAnsiTheme="majorHAnsi" w:cstheme="minorHAnsi"/>
          <w:lang w:eastAsia="en-GB"/>
        </w:rPr>
        <w:t xml:space="preserve"> </w:t>
      </w:r>
      <w:r>
        <w:rPr>
          <w:rFonts w:asciiTheme="majorHAnsi" w:eastAsia="Times New Roman" w:hAnsiTheme="majorHAnsi" w:cstheme="minorHAnsi"/>
          <w:lang w:eastAsia="en-GB"/>
        </w:rPr>
        <w:t xml:space="preserve">limited risk exposure capacity of European banks, whose </w:t>
      </w:r>
      <w:r w:rsidR="007F4AAB">
        <w:rPr>
          <w:rFonts w:asciiTheme="majorHAnsi" w:eastAsia="Times New Roman" w:hAnsiTheme="majorHAnsi" w:cstheme="minorHAnsi"/>
          <w:lang w:eastAsia="en-GB"/>
        </w:rPr>
        <w:t xml:space="preserve">balance sheet have </w:t>
      </w:r>
      <w:r w:rsidR="006B336B">
        <w:rPr>
          <w:rFonts w:asciiTheme="majorHAnsi" w:eastAsia="Times New Roman" w:hAnsiTheme="majorHAnsi" w:cstheme="minorHAnsi"/>
          <w:lang w:eastAsia="en-GB"/>
        </w:rPr>
        <w:t>bee</w:t>
      </w:r>
      <w:r w:rsidR="007F4AAB">
        <w:rPr>
          <w:rFonts w:asciiTheme="majorHAnsi" w:eastAsia="Times New Roman" w:hAnsiTheme="majorHAnsi" w:cstheme="minorHAnsi"/>
          <w:lang w:eastAsia="en-GB"/>
        </w:rPr>
        <w:t>n</w:t>
      </w:r>
      <w:r w:rsidR="006B336B">
        <w:rPr>
          <w:rFonts w:asciiTheme="majorHAnsi" w:eastAsia="Times New Roman" w:hAnsiTheme="majorHAnsi" w:cstheme="minorHAnsi"/>
          <w:lang w:eastAsia="en-GB"/>
        </w:rPr>
        <w:t xml:space="preserve"> under pressure in</w:t>
      </w:r>
      <w:r w:rsidR="007F4AAB">
        <w:rPr>
          <w:rFonts w:asciiTheme="majorHAnsi" w:eastAsia="Times New Roman" w:hAnsiTheme="majorHAnsi" w:cstheme="minorHAnsi"/>
          <w:lang w:eastAsia="en-GB"/>
        </w:rPr>
        <w:t xml:space="preserve"> the aftermath of the crisis and subsequent regulatory changes</w:t>
      </w:r>
      <w:r w:rsidR="007E4834">
        <w:rPr>
          <w:rFonts w:asciiTheme="majorHAnsi" w:eastAsia="Times New Roman" w:hAnsiTheme="majorHAnsi" w:cstheme="minorHAnsi"/>
          <w:lang w:eastAsia="en-GB"/>
        </w:rPr>
        <w:t>. This would improve access to financing both for large</w:t>
      </w:r>
      <w:r w:rsidR="00C25318">
        <w:rPr>
          <w:rFonts w:asciiTheme="majorHAnsi" w:eastAsia="Times New Roman" w:hAnsiTheme="majorHAnsi" w:cstheme="minorHAnsi"/>
          <w:lang w:eastAsia="en-GB"/>
        </w:rPr>
        <w:t xml:space="preserve">, pan-European </w:t>
      </w:r>
      <w:r w:rsidR="0094506E">
        <w:rPr>
          <w:rFonts w:asciiTheme="majorHAnsi" w:eastAsia="Times New Roman" w:hAnsiTheme="majorHAnsi" w:cstheme="minorHAnsi"/>
          <w:lang w:eastAsia="en-GB"/>
        </w:rPr>
        <w:t xml:space="preserve">infrastructure </w:t>
      </w:r>
      <w:r w:rsidR="007E4834">
        <w:rPr>
          <w:rFonts w:asciiTheme="majorHAnsi" w:eastAsia="Times New Roman" w:hAnsiTheme="majorHAnsi" w:cstheme="minorHAnsi"/>
          <w:lang w:eastAsia="en-GB"/>
        </w:rPr>
        <w:t>projects and for SMEs</w:t>
      </w:r>
      <w:r w:rsidR="0094506E">
        <w:rPr>
          <w:rFonts w:asciiTheme="majorHAnsi" w:eastAsia="Times New Roman" w:hAnsiTheme="majorHAnsi" w:cstheme="minorHAnsi"/>
          <w:lang w:eastAsia="en-GB"/>
        </w:rPr>
        <w:t>/start-ups</w:t>
      </w:r>
      <w:r w:rsidR="007E4834">
        <w:rPr>
          <w:rFonts w:asciiTheme="majorHAnsi" w:eastAsia="Times New Roman" w:hAnsiTheme="majorHAnsi" w:cstheme="minorHAnsi"/>
          <w:lang w:eastAsia="en-GB"/>
        </w:rPr>
        <w:t>.</w:t>
      </w:r>
    </w:p>
    <w:p w:rsidR="00AF75B2" w:rsidRDefault="00215F58" w:rsidP="00205EC9">
      <w:pPr>
        <w:spacing w:before="120"/>
        <w:jc w:val="both"/>
        <w:rPr>
          <w:rFonts w:asciiTheme="majorHAnsi" w:hAnsiTheme="majorHAnsi"/>
        </w:rPr>
      </w:pPr>
      <w:r>
        <w:rPr>
          <w:rFonts w:asciiTheme="majorHAnsi" w:hAnsiTheme="majorHAnsi"/>
        </w:rPr>
        <w:lastRenderedPageBreak/>
        <w:t>Through</w:t>
      </w:r>
      <w:r w:rsidR="003C103F" w:rsidRPr="00773854">
        <w:rPr>
          <w:rFonts w:asciiTheme="majorHAnsi" w:hAnsiTheme="majorHAnsi"/>
        </w:rPr>
        <w:t xml:space="preserve"> </w:t>
      </w:r>
      <w:r w:rsidR="005E31B7">
        <w:rPr>
          <w:rFonts w:asciiTheme="majorHAnsi" w:hAnsiTheme="majorHAnsi"/>
        </w:rPr>
        <w:t xml:space="preserve">its </w:t>
      </w:r>
      <w:r w:rsidR="003C103F" w:rsidRPr="00773854">
        <w:rPr>
          <w:rFonts w:asciiTheme="majorHAnsi" w:hAnsiTheme="majorHAnsi"/>
        </w:rPr>
        <w:t xml:space="preserve">direct investment allocations, </w:t>
      </w:r>
      <w:r>
        <w:rPr>
          <w:rFonts w:asciiTheme="majorHAnsi" w:hAnsiTheme="majorHAnsi"/>
        </w:rPr>
        <w:t xml:space="preserve">the </w:t>
      </w:r>
      <w:r w:rsidR="003C103F" w:rsidRPr="00773854">
        <w:rPr>
          <w:rFonts w:asciiTheme="majorHAnsi" w:hAnsiTheme="majorHAnsi"/>
        </w:rPr>
        <w:t xml:space="preserve">EFI would </w:t>
      </w:r>
      <w:r>
        <w:rPr>
          <w:rFonts w:asciiTheme="majorHAnsi" w:hAnsiTheme="majorHAnsi"/>
        </w:rPr>
        <w:t>temporarily</w:t>
      </w:r>
      <w:r w:rsidRPr="00773854">
        <w:rPr>
          <w:rFonts w:asciiTheme="majorHAnsi" w:hAnsiTheme="majorHAnsi"/>
        </w:rPr>
        <w:t xml:space="preserve"> </w:t>
      </w:r>
      <w:r w:rsidR="003C103F" w:rsidRPr="00773854">
        <w:rPr>
          <w:rFonts w:asciiTheme="majorHAnsi" w:hAnsiTheme="majorHAnsi"/>
        </w:rPr>
        <w:t>become</w:t>
      </w:r>
      <w:r w:rsidR="007F4AAB">
        <w:rPr>
          <w:rFonts w:asciiTheme="majorHAnsi" w:hAnsiTheme="majorHAnsi"/>
        </w:rPr>
        <w:t xml:space="preserve"> </w:t>
      </w:r>
      <w:r w:rsidR="003C103F" w:rsidRPr="00773854">
        <w:rPr>
          <w:rFonts w:asciiTheme="majorHAnsi" w:hAnsiTheme="majorHAnsi"/>
        </w:rPr>
        <w:t xml:space="preserve">an owner or co-owner of the assets created through these investments. It </w:t>
      </w:r>
      <w:r w:rsidR="00664E54">
        <w:rPr>
          <w:rFonts w:asciiTheme="majorHAnsi" w:hAnsiTheme="majorHAnsi"/>
        </w:rPr>
        <w:t>would</w:t>
      </w:r>
      <w:r w:rsidR="008E5419">
        <w:rPr>
          <w:rFonts w:asciiTheme="majorHAnsi" w:hAnsiTheme="majorHAnsi"/>
        </w:rPr>
        <w:t xml:space="preserve"> need to</w:t>
      </w:r>
      <w:r w:rsidR="00664E54">
        <w:rPr>
          <w:rFonts w:asciiTheme="majorHAnsi" w:hAnsiTheme="majorHAnsi"/>
        </w:rPr>
        <w:t xml:space="preserve"> </w:t>
      </w:r>
      <w:r w:rsidR="008E5419">
        <w:rPr>
          <w:rFonts w:asciiTheme="majorHAnsi" w:hAnsiTheme="majorHAnsi"/>
        </w:rPr>
        <w:t>generate revenue stream</w:t>
      </w:r>
      <w:r>
        <w:rPr>
          <w:rFonts w:asciiTheme="majorHAnsi" w:hAnsiTheme="majorHAnsi"/>
        </w:rPr>
        <w:t>s</w:t>
      </w:r>
      <w:r w:rsidR="008E5419">
        <w:rPr>
          <w:rFonts w:asciiTheme="majorHAnsi" w:hAnsiTheme="majorHAnsi"/>
        </w:rPr>
        <w:t xml:space="preserve"> sufficient to service its debt in the short-to-medium term </w:t>
      </w:r>
      <w:r w:rsidR="003F2232">
        <w:rPr>
          <w:rFonts w:asciiTheme="majorHAnsi" w:hAnsiTheme="majorHAnsi"/>
        </w:rPr>
        <w:t>(</w:t>
      </w:r>
      <w:r w:rsidR="007F4AAB">
        <w:rPr>
          <w:rFonts w:asciiTheme="majorHAnsi" w:hAnsiTheme="majorHAnsi"/>
        </w:rPr>
        <w:t>for example</w:t>
      </w:r>
      <w:r w:rsidR="00F60CED">
        <w:rPr>
          <w:rFonts w:asciiTheme="majorHAnsi" w:hAnsiTheme="majorHAnsi"/>
        </w:rPr>
        <w:t xml:space="preserve"> through</w:t>
      </w:r>
      <w:r w:rsidR="007F4AAB">
        <w:rPr>
          <w:rFonts w:asciiTheme="majorHAnsi" w:hAnsiTheme="majorHAnsi"/>
        </w:rPr>
        <w:t xml:space="preserve"> </w:t>
      </w:r>
      <w:r w:rsidR="008E5419">
        <w:rPr>
          <w:rFonts w:asciiTheme="majorHAnsi" w:hAnsiTheme="majorHAnsi"/>
        </w:rPr>
        <w:t>user, availability or leasing fees</w:t>
      </w:r>
      <w:r w:rsidR="007F4AAB">
        <w:rPr>
          <w:rFonts w:asciiTheme="majorHAnsi" w:hAnsiTheme="majorHAnsi"/>
        </w:rPr>
        <w:t>)</w:t>
      </w:r>
      <w:r w:rsidR="008E5419">
        <w:rPr>
          <w:rFonts w:asciiTheme="majorHAnsi" w:hAnsiTheme="majorHAnsi"/>
        </w:rPr>
        <w:t xml:space="preserve"> and would be expected</w:t>
      </w:r>
      <w:r w:rsidR="008E5419" w:rsidRPr="00773854">
        <w:rPr>
          <w:rFonts w:asciiTheme="majorHAnsi" w:hAnsiTheme="majorHAnsi"/>
        </w:rPr>
        <w:t xml:space="preserve"> to transfer ownership by privatization or nationalization (</w:t>
      </w:r>
      <w:r w:rsidR="00E15DB4">
        <w:rPr>
          <w:rFonts w:asciiTheme="majorHAnsi" w:hAnsiTheme="majorHAnsi"/>
        </w:rPr>
        <w:t xml:space="preserve">for </w:t>
      </w:r>
      <w:r w:rsidR="008E5419" w:rsidRPr="00773854">
        <w:rPr>
          <w:rFonts w:asciiTheme="majorHAnsi" w:hAnsiTheme="majorHAnsi"/>
        </w:rPr>
        <w:t>critical infrastructure) at later stage</w:t>
      </w:r>
      <w:r w:rsidR="008E5419">
        <w:rPr>
          <w:rFonts w:asciiTheme="majorHAnsi" w:hAnsiTheme="majorHAnsi"/>
        </w:rPr>
        <w:t>s</w:t>
      </w:r>
      <w:r w:rsidR="008E5419" w:rsidRPr="00773854">
        <w:rPr>
          <w:rFonts w:asciiTheme="majorHAnsi" w:hAnsiTheme="majorHAnsi"/>
        </w:rPr>
        <w:t xml:space="preserve"> in order to repay its debt</w:t>
      </w:r>
      <w:r w:rsidR="003C103F" w:rsidRPr="00773854">
        <w:rPr>
          <w:rFonts w:asciiTheme="majorHAnsi" w:hAnsiTheme="majorHAnsi"/>
        </w:rPr>
        <w:t>. Th</w:t>
      </w:r>
      <w:r w:rsidR="008E5419">
        <w:rPr>
          <w:rFonts w:asciiTheme="majorHAnsi" w:hAnsiTheme="majorHAnsi"/>
        </w:rPr>
        <w:t>e</w:t>
      </w:r>
      <w:r w:rsidR="003C103F" w:rsidRPr="00773854">
        <w:rPr>
          <w:rFonts w:asciiTheme="majorHAnsi" w:hAnsiTheme="majorHAnsi"/>
        </w:rPr>
        <w:t xml:space="preserve"> approach </w:t>
      </w:r>
      <w:r w:rsidR="008E5419">
        <w:rPr>
          <w:rFonts w:asciiTheme="majorHAnsi" w:hAnsiTheme="majorHAnsi"/>
        </w:rPr>
        <w:t>would apply project structures similar to</w:t>
      </w:r>
      <w:r w:rsidR="003C103F" w:rsidRPr="00773854">
        <w:rPr>
          <w:rFonts w:asciiTheme="majorHAnsi" w:hAnsiTheme="majorHAnsi"/>
        </w:rPr>
        <w:t xml:space="preserve"> </w:t>
      </w:r>
      <w:r>
        <w:rPr>
          <w:rFonts w:asciiTheme="majorHAnsi" w:hAnsiTheme="majorHAnsi"/>
        </w:rPr>
        <w:t xml:space="preserve">the </w:t>
      </w:r>
      <w:r w:rsidR="003C103F" w:rsidRPr="00773854">
        <w:rPr>
          <w:rFonts w:asciiTheme="majorHAnsi" w:hAnsiTheme="majorHAnsi"/>
        </w:rPr>
        <w:t xml:space="preserve">BOOT (build-own-operate-transfer) </w:t>
      </w:r>
      <w:r w:rsidR="008E5419">
        <w:rPr>
          <w:rFonts w:asciiTheme="majorHAnsi" w:hAnsiTheme="majorHAnsi"/>
        </w:rPr>
        <w:t>and</w:t>
      </w:r>
      <w:r w:rsidR="003C103F" w:rsidRPr="00773854">
        <w:rPr>
          <w:rFonts w:asciiTheme="majorHAnsi" w:hAnsiTheme="majorHAnsi"/>
        </w:rPr>
        <w:t xml:space="preserve"> BLT (bui</w:t>
      </w:r>
      <w:r w:rsidR="00AE1A3E">
        <w:rPr>
          <w:rFonts w:asciiTheme="majorHAnsi" w:hAnsiTheme="majorHAnsi"/>
        </w:rPr>
        <w:t>l</w:t>
      </w:r>
      <w:r w:rsidR="003C103F" w:rsidRPr="00773854">
        <w:rPr>
          <w:rFonts w:asciiTheme="majorHAnsi" w:hAnsiTheme="majorHAnsi"/>
        </w:rPr>
        <w:t>d-lease-transfer)</w:t>
      </w:r>
      <w:r>
        <w:rPr>
          <w:rFonts w:asciiTheme="majorHAnsi" w:hAnsiTheme="majorHAnsi"/>
        </w:rPr>
        <w:t xml:space="preserve"> structures</w:t>
      </w:r>
      <w:r w:rsidR="003C103F" w:rsidRPr="00773854">
        <w:rPr>
          <w:rFonts w:asciiTheme="majorHAnsi" w:hAnsiTheme="majorHAnsi"/>
        </w:rPr>
        <w:t xml:space="preserve"> frequently used in infrastructure projects. However, under present economic conditions, </w:t>
      </w:r>
      <w:r>
        <w:rPr>
          <w:rFonts w:asciiTheme="majorHAnsi" w:hAnsiTheme="majorHAnsi"/>
        </w:rPr>
        <w:t xml:space="preserve">the </w:t>
      </w:r>
      <w:r w:rsidR="003C103F" w:rsidRPr="00773854">
        <w:rPr>
          <w:rFonts w:asciiTheme="majorHAnsi" w:hAnsiTheme="majorHAnsi"/>
        </w:rPr>
        <w:t xml:space="preserve">EFI should be prepared for </w:t>
      </w:r>
      <w:r w:rsidR="00664E54">
        <w:rPr>
          <w:rFonts w:asciiTheme="majorHAnsi" w:hAnsiTheme="majorHAnsi"/>
        </w:rPr>
        <w:t xml:space="preserve">a </w:t>
      </w:r>
      <w:r w:rsidR="003C103F" w:rsidRPr="00773854">
        <w:rPr>
          <w:rFonts w:asciiTheme="majorHAnsi" w:hAnsiTheme="majorHAnsi"/>
        </w:rPr>
        <w:t xml:space="preserve">prolonged ownership of </w:t>
      </w:r>
      <w:r>
        <w:rPr>
          <w:rFonts w:asciiTheme="majorHAnsi" w:hAnsiTheme="majorHAnsi"/>
        </w:rPr>
        <w:t xml:space="preserve">the </w:t>
      </w:r>
      <w:r w:rsidRPr="00773854">
        <w:rPr>
          <w:rFonts w:asciiTheme="majorHAnsi" w:hAnsiTheme="majorHAnsi"/>
        </w:rPr>
        <w:t>assets</w:t>
      </w:r>
      <w:r>
        <w:rPr>
          <w:rFonts w:asciiTheme="majorHAnsi" w:hAnsiTheme="majorHAnsi"/>
        </w:rPr>
        <w:t xml:space="preserve"> it acquires</w:t>
      </w:r>
      <w:r w:rsidR="003C103F" w:rsidRPr="00773854">
        <w:rPr>
          <w:rFonts w:asciiTheme="majorHAnsi" w:hAnsiTheme="majorHAnsi"/>
        </w:rPr>
        <w:t>.</w:t>
      </w:r>
    </w:p>
    <w:p w:rsidR="00C25318" w:rsidRDefault="00C25318" w:rsidP="00205EC9">
      <w:pPr>
        <w:spacing w:before="120"/>
        <w:jc w:val="both"/>
        <w:rPr>
          <w:rFonts w:asciiTheme="majorHAnsi" w:hAnsiTheme="majorHAnsi"/>
        </w:rPr>
      </w:pPr>
      <w:r>
        <w:rPr>
          <w:rFonts w:asciiTheme="majorHAnsi" w:hAnsiTheme="majorHAnsi"/>
        </w:rPr>
        <w:t xml:space="preserve">Diversification of EFI’s investment portfolio through its </w:t>
      </w:r>
      <w:r w:rsidR="00DA0D81">
        <w:rPr>
          <w:rFonts w:asciiTheme="majorHAnsi" w:hAnsiTheme="majorHAnsi"/>
        </w:rPr>
        <w:t xml:space="preserve">equity </w:t>
      </w:r>
      <w:r>
        <w:rPr>
          <w:rFonts w:asciiTheme="majorHAnsi" w:hAnsiTheme="majorHAnsi"/>
        </w:rPr>
        <w:t xml:space="preserve">involvement into other financial instruments </w:t>
      </w:r>
      <w:r w:rsidR="00DA0D81">
        <w:rPr>
          <w:rFonts w:asciiTheme="majorHAnsi" w:hAnsiTheme="majorHAnsi"/>
        </w:rPr>
        <w:t>could diversify risks and ensure additional profits for the Fund.</w:t>
      </w:r>
    </w:p>
    <w:p w:rsidR="00F0439E" w:rsidRPr="00150C8A" w:rsidRDefault="00F0439E" w:rsidP="00150C8A">
      <w:pPr>
        <w:spacing w:before="360"/>
        <w:jc w:val="both"/>
        <w:rPr>
          <w:rFonts w:asciiTheme="majorHAnsi" w:eastAsia="Times New Roman" w:hAnsiTheme="majorHAnsi" w:cstheme="minorHAnsi"/>
          <w:i/>
          <w:lang w:eastAsia="en-GB"/>
        </w:rPr>
      </w:pPr>
      <w:r w:rsidRPr="00150C8A">
        <w:rPr>
          <w:rFonts w:asciiTheme="majorHAnsi" w:eastAsia="Times New Roman" w:hAnsiTheme="majorHAnsi" w:cstheme="minorHAnsi"/>
          <w:i/>
          <w:lang w:eastAsia="en-GB"/>
        </w:rPr>
        <w:t>Involvement of all Member States is necessary</w:t>
      </w:r>
    </w:p>
    <w:p w:rsidR="00773854" w:rsidRPr="00773854" w:rsidRDefault="0029289F" w:rsidP="00205EC9">
      <w:pPr>
        <w:spacing w:before="120"/>
        <w:jc w:val="both"/>
        <w:rPr>
          <w:rFonts w:asciiTheme="majorHAnsi" w:hAnsiTheme="majorHAnsi" w:cstheme="minorHAnsi"/>
        </w:rPr>
      </w:pPr>
      <w:r w:rsidRPr="00773854">
        <w:rPr>
          <w:rFonts w:asciiTheme="majorHAnsi" w:hAnsiTheme="majorHAnsi"/>
        </w:rPr>
        <w:t xml:space="preserve">While </w:t>
      </w:r>
      <w:r w:rsidR="00215F58">
        <w:rPr>
          <w:rFonts w:asciiTheme="majorHAnsi" w:hAnsiTheme="majorHAnsi"/>
        </w:rPr>
        <w:t xml:space="preserve">the </w:t>
      </w:r>
      <w:r w:rsidRPr="00773854">
        <w:rPr>
          <w:rFonts w:asciiTheme="majorHAnsi" w:hAnsiTheme="majorHAnsi"/>
        </w:rPr>
        <w:t xml:space="preserve">EFI is mainly dedicated to large-scale pan-European projects, absence of any Member State in the </w:t>
      </w:r>
      <w:proofErr w:type="spellStart"/>
      <w:r w:rsidRPr="00773854">
        <w:rPr>
          <w:rFonts w:asciiTheme="majorHAnsi" w:hAnsiTheme="majorHAnsi"/>
        </w:rPr>
        <w:t>program</w:t>
      </w:r>
      <w:r w:rsidR="00F969CE">
        <w:rPr>
          <w:rFonts w:asciiTheme="majorHAnsi" w:hAnsiTheme="majorHAnsi"/>
        </w:rPr>
        <w:t>me</w:t>
      </w:r>
      <w:proofErr w:type="spellEnd"/>
      <w:r w:rsidRPr="00773854">
        <w:rPr>
          <w:rFonts w:asciiTheme="majorHAnsi" w:hAnsiTheme="majorHAnsi"/>
        </w:rPr>
        <w:t xml:space="preserve"> could undermine implementation of some projects of key importance for the whole EU. Therefore, the scheme should be </w:t>
      </w:r>
      <w:r w:rsidR="00AE1A3E">
        <w:rPr>
          <w:rFonts w:asciiTheme="majorHAnsi" w:hAnsiTheme="majorHAnsi"/>
        </w:rPr>
        <w:t xml:space="preserve">set up by and for </w:t>
      </w:r>
      <w:r w:rsidRPr="00773854">
        <w:rPr>
          <w:rFonts w:asciiTheme="majorHAnsi" w:hAnsiTheme="majorHAnsi"/>
        </w:rPr>
        <w:t>all EU Member States</w:t>
      </w:r>
      <w:r w:rsidR="00664E54">
        <w:rPr>
          <w:rFonts w:asciiTheme="majorHAnsi" w:hAnsiTheme="majorHAnsi"/>
        </w:rPr>
        <w:t xml:space="preserve"> – unlike the European Stability Mechanism</w:t>
      </w:r>
      <w:r w:rsidR="00215F58">
        <w:rPr>
          <w:rFonts w:asciiTheme="majorHAnsi" w:hAnsiTheme="majorHAnsi"/>
        </w:rPr>
        <w:t>,</w:t>
      </w:r>
      <w:r w:rsidR="00664E54">
        <w:rPr>
          <w:rFonts w:asciiTheme="majorHAnsi" w:hAnsiTheme="majorHAnsi"/>
        </w:rPr>
        <w:t xml:space="preserve"> which was established only b</w:t>
      </w:r>
      <w:r w:rsidR="00E15DB4">
        <w:rPr>
          <w:rFonts w:asciiTheme="majorHAnsi" w:hAnsiTheme="majorHAnsi"/>
        </w:rPr>
        <w:t>y</w:t>
      </w:r>
      <w:r w:rsidR="00664E54">
        <w:rPr>
          <w:rFonts w:asciiTheme="majorHAnsi" w:hAnsiTheme="majorHAnsi"/>
        </w:rPr>
        <w:t xml:space="preserve"> Euro Area countries</w:t>
      </w:r>
      <w:r w:rsidRPr="00773854">
        <w:rPr>
          <w:rFonts w:asciiTheme="majorHAnsi" w:hAnsiTheme="majorHAnsi"/>
        </w:rPr>
        <w:t xml:space="preserve">. </w:t>
      </w:r>
      <w:r w:rsidR="003F61D5">
        <w:rPr>
          <w:rFonts w:asciiTheme="majorHAnsi" w:hAnsiTheme="majorHAnsi"/>
        </w:rPr>
        <w:t xml:space="preserve">Moreover, all </w:t>
      </w:r>
      <w:r w:rsidRPr="00773854">
        <w:rPr>
          <w:rFonts w:asciiTheme="majorHAnsi" w:hAnsiTheme="majorHAnsi"/>
        </w:rPr>
        <w:t xml:space="preserve">Member States </w:t>
      </w:r>
      <w:r w:rsidR="003F61D5">
        <w:rPr>
          <w:rFonts w:asciiTheme="majorHAnsi" w:hAnsiTheme="majorHAnsi"/>
        </w:rPr>
        <w:t>w</w:t>
      </w:r>
      <w:r w:rsidRPr="00773854">
        <w:rPr>
          <w:rFonts w:asciiTheme="majorHAnsi" w:hAnsiTheme="majorHAnsi"/>
        </w:rPr>
        <w:t>ould benefit directly or indirectly from the initiative</w:t>
      </w:r>
      <w:r w:rsidR="003F61D5">
        <w:rPr>
          <w:rFonts w:asciiTheme="majorHAnsi" w:hAnsiTheme="majorHAnsi"/>
        </w:rPr>
        <w:t xml:space="preserve">, so all of them should make </w:t>
      </w:r>
      <w:r w:rsidRPr="00773854">
        <w:rPr>
          <w:rFonts w:asciiTheme="majorHAnsi" w:hAnsiTheme="majorHAnsi"/>
        </w:rPr>
        <w:t xml:space="preserve"> </w:t>
      </w:r>
      <w:r w:rsidR="00215F58">
        <w:rPr>
          <w:rFonts w:asciiTheme="majorHAnsi" w:hAnsiTheme="majorHAnsi"/>
        </w:rPr>
        <w:t xml:space="preserve">a </w:t>
      </w:r>
      <w:r w:rsidRPr="00773854">
        <w:rPr>
          <w:rFonts w:asciiTheme="majorHAnsi" w:hAnsiTheme="majorHAnsi"/>
        </w:rPr>
        <w:t>financial contribution</w:t>
      </w:r>
      <w:r w:rsidR="00664E54" w:rsidRPr="00664E54">
        <w:rPr>
          <w:rFonts w:asciiTheme="majorHAnsi" w:hAnsiTheme="majorHAnsi"/>
        </w:rPr>
        <w:t xml:space="preserve"> </w:t>
      </w:r>
      <w:r w:rsidR="00664E54">
        <w:rPr>
          <w:rFonts w:asciiTheme="majorHAnsi" w:hAnsiTheme="majorHAnsi"/>
        </w:rPr>
        <w:t xml:space="preserve">to </w:t>
      </w:r>
      <w:r w:rsidR="00215F58">
        <w:rPr>
          <w:rFonts w:asciiTheme="majorHAnsi" w:hAnsiTheme="majorHAnsi"/>
        </w:rPr>
        <w:t xml:space="preserve">the </w:t>
      </w:r>
      <w:r w:rsidR="00664E54">
        <w:rPr>
          <w:rFonts w:asciiTheme="majorHAnsi" w:hAnsiTheme="majorHAnsi"/>
        </w:rPr>
        <w:t>EFI’s capital</w:t>
      </w:r>
      <w:r w:rsidRPr="00773854">
        <w:rPr>
          <w:rFonts w:asciiTheme="majorHAnsi" w:hAnsiTheme="majorHAnsi"/>
        </w:rPr>
        <w:t xml:space="preserve">. </w:t>
      </w:r>
    </w:p>
    <w:p w:rsidR="00E50038" w:rsidRPr="00150C8A" w:rsidRDefault="00E50038" w:rsidP="00150C8A">
      <w:pPr>
        <w:keepNext/>
        <w:spacing w:before="360"/>
        <w:jc w:val="both"/>
        <w:rPr>
          <w:rFonts w:asciiTheme="majorHAnsi" w:eastAsia="Times New Roman" w:hAnsiTheme="majorHAnsi" w:cstheme="minorHAnsi"/>
          <w:i/>
          <w:lang w:eastAsia="en-GB"/>
        </w:rPr>
      </w:pPr>
      <w:r w:rsidRPr="00150C8A">
        <w:rPr>
          <w:rFonts w:asciiTheme="majorHAnsi" w:eastAsia="Times New Roman" w:hAnsiTheme="majorHAnsi" w:cstheme="minorHAnsi"/>
          <w:i/>
          <w:lang w:eastAsia="en-GB"/>
        </w:rPr>
        <w:t>Concluding remarks</w:t>
      </w:r>
    </w:p>
    <w:p w:rsidR="00325642" w:rsidRDefault="00E50038" w:rsidP="00205EC9">
      <w:pPr>
        <w:spacing w:before="120"/>
        <w:jc w:val="both"/>
        <w:rPr>
          <w:rFonts w:asciiTheme="majorHAnsi" w:hAnsiTheme="majorHAnsi"/>
        </w:rPr>
      </w:pPr>
      <w:r>
        <w:rPr>
          <w:rFonts w:asciiTheme="majorHAnsi" w:hAnsiTheme="majorHAnsi"/>
        </w:rPr>
        <w:t>N</w:t>
      </w:r>
      <w:r w:rsidRPr="00773854">
        <w:rPr>
          <w:rFonts w:asciiTheme="majorHAnsi" w:hAnsiTheme="majorHAnsi"/>
        </w:rPr>
        <w:t xml:space="preserve">ow is the right time to </w:t>
      </w:r>
      <w:r>
        <w:rPr>
          <w:rFonts w:asciiTheme="majorHAnsi" w:hAnsiTheme="majorHAnsi"/>
        </w:rPr>
        <w:t xml:space="preserve">act. </w:t>
      </w:r>
      <w:r w:rsidR="00773854" w:rsidRPr="00773854">
        <w:rPr>
          <w:rFonts w:asciiTheme="majorHAnsi" w:hAnsiTheme="majorHAnsi"/>
        </w:rPr>
        <w:t xml:space="preserve">Europe should </w:t>
      </w:r>
      <w:r w:rsidRPr="00773854">
        <w:rPr>
          <w:rFonts w:asciiTheme="majorHAnsi" w:hAnsiTheme="majorHAnsi"/>
        </w:rPr>
        <w:t xml:space="preserve">boost public investment </w:t>
      </w:r>
      <w:r>
        <w:rPr>
          <w:rFonts w:asciiTheme="majorHAnsi" w:hAnsiTheme="majorHAnsi"/>
        </w:rPr>
        <w:t xml:space="preserve">by </w:t>
      </w:r>
      <w:r w:rsidR="00773854" w:rsidRPr="00773854">
        <w:rPr>
          <w:rFonts w:asciiTheme="majorHAnsi" w:hAnsiTheme="majorHAnsi"/>
        </w:rPr>
        <w:t>tak</w:t>
      </w:r>
      <w:r>
        <w:rPr>
          <w:rFonts w:asciiTheme="majorHAnsi" w:hAnsiTheme="majorHAnsi"/>
        </w:rPr>
        <w:t>ing</w:t>
      </w:r>
      <w:r w:rsidR="00773854" w:rsidRPr="00773854">
        <w:rPr>
          <w:rFonts w:asciiTheme="majorHAnsi" w:hAnsiTheme="majorHAnsi"/>
        </w:rPr>
        <w:t xml:space="preserve"> advantage of historically low interest rates and potentially large multipliers generated by investment spending in a depressed economy. </w:t>
      </w:r>
    </w:p>
    <w:p w:rsidR="00773854" w:rsidRPr="00773854" w:rsidRDefault="00215F58" w:rsidP="00205EC9">
      <w:pPr>
        <w:spacing w:before="120"/>
        <w:jc w:val="both"/>
        <w:rPr>
          <w:rFonts w:asciiTheme="majorHAnsi" w:eastAsia="Times New Roman" w:hAnsiTheme="majorHAnsi" w:cstheme="minorHAnsi"/>
          <w:lang w:eastAsia="en-GB"/>
        </w:rPr>
      </w:pPr>
      <w:r>
        <w:rPr>
          <w:rFonts w:asciiTheme="majorHAnsi" w:hAnsiTheme="majorHAnsi"/>
        </w:rPr>
        <w:t>In the current circumstances, s</w:t>
      </w:r>
      <w:r w:rsidR="00773854" w:rsidRPr="00773854">
        <w:rPr>
          <w:rFonts w:asciiTheme="majorHAnsi" w:hAnsiTheme="majorHAnsi"/>
        </w:rPr>
        <w:t xml:space="preserve">timulating </w:t>
      </w:r>
      <w:r w:rsidR="00325642">
        <w:rPr>
          <w:rFonts w:asciiTheme="majorHAnsi" w:hAnsiTheme="majorHAnsi"/>
        </w:rPr>
        <w:t>short-term</w:t>
      </w:r>
      <w:r w:rsidR="00773854" w:rsidRPr="00773854">
        <w:rPr>
          <w:rFonts w:asciiTheme="majorHAnsi" w:hAnsiTheme="majorHAnsi"/>
        </w:rPr>
        <w:t xml:space="preserve"> </w:t>
      </w:r>
      <w:r w:rsidRPr="00773854">
        <w:rPr>
          <w:rFonts w:asciiTheme="majorHAnsi" w:hAnsiTheme="majorHAnsi"/>
        </w:rPr>
        <w:t>growth rates</w:t>
      </w:r>
      <w:r>
        <w:rPr>
          <w:rFonts w:asciiTheme="majorHAnsi" w:hAnsiTheme="majorHAnsi"/>
        </w:rPr>
        <w:t xml:space="preserve"> </w:t>
      </w:r>
      <w:r w:rsidR="00773854" w:rsidRPr="00773854">
        <w:rPr>
          <w:rFonts w:asciiTheme="majorHAnsi" w:hAnsiTheme="majorHAnsi"/>
        </w:rPr>
        <w:t xml:space="preserve">and </w:t>
      </w:r>
      <w:r w:rsidR="00325642">
        <w:rPr>
          <w:rFonts w:asciiTheme="majorHAnsi" w:hAnsiTheme="majorHAnsi"/>
        </w:rPr>
        <w:t>increasing</w:t>
      </w:r>
      <w:r w:rsidR="00773854" w:rsidRPr="00773854">
        <w:rPr>
          <w:rFonts w:asciiTheme="majorHAnsi" w:hAnsiTheme="majorHAnsi"/>
        </w:rPr>
        <w:t xml:space="preserve"> long-term</w:t>
      </w:r>
      <w:r>
        <w:rPr>
          <w:rFonts w:asciiTheme="majorHAnsi" w:hAnsiTheme="majorHAnsi"/>
        </w:rPr>
        <w:t xml:space="preserve"> ones</w:t>
      </w:r>
      <w:r w:rsidR="00773854" w:rsidRPr="00773854">
        <w:rPr>
          <w:rFonts w:asciiTheme="majorHAnsi" w:hAnsiTheme="majorHAnsi"/>
        </w:rPr>
        <w:t xml:space="preserve"> </w:t>
      </w:r>
      <w:r w:rsidR="00325642">
        <w:rPr>
          <w:rFonts w:asciiTheme="majorHAnsi" w:hAnsiTheme="majorHAnsi"/>
        </w:rPr>
        <w:t>by debt-financed investment is also fiscally prudent</w:t>
      </w:r>
      <w:r>
        <w:rPr>
          <w:rFonts w:asciiTheme="majorHAnsi" w:hAnsiTheme="majorHAnsi"/>
        </w:rPr>
        <w:t xml:space="preserve">. </w:t>
      </w:r>
      <w:r w:rsidR="00325642">
        <w:rPr>
          <w:rFonts w:asciiTheme="majorHAnsi" w:hAnsiTheme="majorHAnsi"/>
        </w:rPr>
        <w:t xml:space="preserve"> </w:t>
      </w:r>
      <w:r>
        <w:rPr>
          <w:rFonts w:asciiTheme="majorHAnsi" w:hAnsiTheme="majorHAnsi"/>
        </w:rPr>
        <w:t xml:space="preserve">As confirmed by the latest analysis of the International Monetary Fund (among others), </w:t>
      </w:r>
      <w:r w:rsidR="00B711CC">
        <w:rPr>
          <w:rFonts w:asciiTheme="majorHAnsi" w:hAnsiTheme="majorHAnsi"/>
        </w:rPr>
        <w:t>such investment</w:t>
      </w:r>
      <w:r>
        <w:rPr>
          <w:rFonts w:asciiTheme="majorHAnsi" w:hAnsiTheme="majorHAnsi"/>
        </w:rPr>
        <w:t xml:space="preserve"> would </w:t>
      </w:r>
      <w:r w:rsidR="00325642">
        <w:rPr>
          <w:rFonts w:asciiTheme="majorHAnsi" w:hAnsiTheme="majorHAnsi"/>
        </w:rPr>
        <w:t>actually reduce public indebtedness</w:t>
      </w:r>
      <w:r w:rsidR="00E50038">
        <w:rPr>
          <w:rFonts w:asciiTheme="majorHAnsi" w:hAnsiTheme="majorHAnsi"/>
        </w:rPr>
        <w:t xml:space="preserve">. </w:t>
      </w:r>
      <w:r w:rsidR="00773854" w:rsidRPr="00773854">
        <w:rPr>
          <w:rFonts w:asciiTheme="majorHAnsi" w:hAnsiTheme="majorHAnsi"/>
        </w:rPr>
        <w:t xml:space="preserve"> </w:t>
      </w:r>
    </w:p>
    <w:p w:rsidR="001523AC" w:rsidRPr="001523AC" w:rsidRDefault="003F61D5" w:rsidP="00205EC9">
      <w:pPr>
        <w:spacing w:before="120"/>
        <w:jc w:val="both"/>
        <w:rPr>
          <w:rFonts w:asciiTheme="majorHAnsi" w:hAnsiTheme="majorHAnsi" w:cstheme="minorHAnsi"/>
        </w:rPr>
      </w:pPr>
      <w:r>
        <w:rPr>
          <w:rFonts w:asciiTheme="majorHAnsi" w:hAnsiTheme="majorHAnsi" w:cstheme="minorHAnsi"/>
        </w:rPr>
        <w:t>W</w:t>
      </w:r>
      <w:r w:rsidR="001523AC" w:rsidRPr="001523AC">
        <w:rPr>
          <w:rFonts w:asciiTheme="majorHAnsi" w:hAnsiTheme="majorHAnsi" w:cstheme="minorHAnsi"/>
        </w:rPr>
        <w:t xml:space="preserve">e can sustainably meet our growth aspirations only within </w:t>
      </w:r>
      <w:r w:rsidR="00215F58">
        <w:rPr>
          <w:rFonts w:asciiTheme="majorHAnsi" w:hAnsiTheme="majorHAnsi" w:cstheme="minorHAnsi"/>
        </w:rPr>
        <w:t xml:space="preserve">a </w:t>
      </w:r>
      <w:r w:rsidR="001523AC" w:rsidRPr="001523AC">
        <w:rPr>
          <w:rFonts w:asciiTheme="majorHAnsi" w:hAnsiTheme="majorHAnsi" w:cstheme="minorHAnsi"/>
        </w:rPr>
        <w:t xml:space="preserve">strong and growing Europe. The responsibility for ending the lost decade and avoiding </w:t>
      </w:r>
      <w:r w:rsidR="00215F58">
        <w:rPr>
          <w:rFonts w:asciiTheme="majorHAnsi" w:hAnsiTheme="majorHAnsi" w:cstheme="minorHAnsi"/>
        </w:rPr>
        <w:t>a</w:t>
      </w:r>
      <w:r w:rsidR="00215F58" w:rsidRPr="001523AC">
        <w:rPr>
          <w:rFonts w:asciiTheme="majorHAnsi" w:hAnsiTheme="majorHAnsi" w:cstheme="minorHAnsi"/>
        </w:rPr>
        <w:t xml:space="preserve"> </w:t>
      </w:r>
      <w:r w:rsidR="001523AC" w:rsidRPr="001523AC">
        <w:rPr>
          <w:rFonts w:asciiTheme="majorHAnsi" w:hAnsiTheme="majorHAnsi" w:cstheme="minorHAnsi"/>
        </w:rPr>
        <w:t xml:space="preserve">lost generation </w:t>
      </w:r>
      <w:r w:rsidR="00215F58">
        <w:rPr>
          <w:rFonts w:asciiTheme="majorHAnsi" w:hAnsiTheme="majorHAnsi" w:cstheme="minorHAnsi"/>
        </w:rPr>
        <w:t>weighs</w:t>
      </w:r>
      <w:r w:rsidR="00215F58" w:rsidRPr="001523AC">
        <w:rPr>
          <w:rFonts w:asciiTheme="majorHAnsi" w:hAnsiTheme="majorHAnsi" w:cstheme="minorHAnsi"/>
        </w:rPr>
        <w:t xml:space="preserve"> </w:t>
      </w:r>
      <w:r w:rsidR="001523AC" w:rsidRPr="001523AC">
        <w:rPr>
          <w:rFonts w:asciiTheme="majorHAnsi" w:hAnsiTheme="majorHAnsi" w:cstheme="minorHAnsi"/>
        </w:rPr>
        <w:t>on all EU Member States</w:t>
      </w:r>
      <w:r w:rsidR="00215F58">
        <w:rPr>
          <w:rFonts w:asciiTheme="majorHAnsi" w:hAnsiTheme="majorHAnsi" w:cstheme="minorHAnsi"/>
        </w:rPr>
        <w:t>.  T</w:t>
      </w:r>
      <w:r w:rsidR="001523AC" w:rsidRPr="001523AC">
        <w:rPr>
          <w:rFonts w:asciiTheme="majorHAnsi" w:hAnsiTheme="majorHAnsi" w:cstheme="minorHAnsi"/>
        </w:rPr>
        <w:t xml:space="preserve">he </w:t>
      </w:r>
      <w:r w:rsidR="001523AC" w:rsidRPr="00245F82">
        <w:rPr>
          <w:rFonts w:asciiTheme="majorHAnsi" w:hAnsiTheme="majorHAnsi" w:cstheme="minorHAnsi"/>
        </w:rPr>
        <w:t>European Fund for Investment</w:t>
      </w:r>
      <w:r w:rsidR="001523AC" w:rsidRPr="001523AC">
        <w:rPr>
          <w:rFonts w:asciiTheme="majorHAnsi" w:hAnsiTheme="majorHAnsi" w:cstheme="minorHAnsi"/>
        </w:rPr>
        <w:t xml:space="preserve"> is the </w:t>
      </w:r>
      <w:r w:rsidR="008210FE">
        <w:rPr>
          <w:rFonts w:asciiTheme="majorHAnsi" w:hAnsiTheme="majorHAnsi" w:cstheme="minorHAnsi"/>
        </w:rPr>
        <w:t xml:space="preserve">right </w:t>
      </w:r>
      <w:r w:rsidR="00E15DB4">
        <w:rPr>
          <w:rFonts w:asciiTheme="majorHAnsi" w:hAnsiTheme="majorHAnsi" w:cstheme="minorHAnsi"/>
        </w:rPr>
        <w:t>means to this end</w:t>
      </w:r>
      <w:r w:rsidR="001523AC" w:rsidRPr="001523AC">
        <w:rPr>
          <w:rFonts w:asciiTheme="majorHAnsi" w:hAnsiTheme="majorHAnsi" w:cstheme="minorHAnsi"/>
        </w:rPr>
        <w:t>.</w:t>
      </w:r>
    </w:p>
    <w:p w:rsidR="00934B1A" w:rsidRDefault="00934B1A" w:rsidP="00205EC9">
      <w:pPr>
        <w:spacing w:before="120"/>
        <w:jc w:val="both"/>
        <w:rPr>
          <w:rFonts w:asciiTheme="majorHAnsi" w:hAnsiTheme="majorHAnsi" w:cstheme="minorHAnsi"/>
        </w:rPr>
      </w:pPr>
      <w:r>
        <w:rPr>
          <w:rFonts w:asciiTheme="majorHAnsi" w:hAnsiTheme="majorHAnsi" w:cstheme="minorHAnsi"/>
        </w:rPr>
        <w:t xml:space="preserve">The forthcoming findings of the </w:t>
      </w:r>
      <w:r w:rsidRPr="00C3218D">
        <w:rPr>
          <w:rFonts w:asciiTheme="majorHAnsi" w:hAnsiTheme="majorHAnsi" w:cstheme="minorHAnsi"/>
        </w:rPr>
        <w:t xml:space="preserve">Task Force </w:t>
      </w:r>
      <w:r w:rsidR="00215F58">
        <w:rPr>
          <w:rFonts w:asciiTheme="majorHAnsi" w:hAnsiTheme="majorHAnsi" w:cstheme="minorHAnsi"/>
        </w:rPr>
        <w:t>on</w:t>
      </w:r>
      <w:r w:rsidR="00215F58" w:rsidRPr="00C3218D">
        <w:rPr>
          <w:rFonts w:asciiTheme="majorHAnsi" w:hAnsiTheme="majorHAnsi" w:cstheme="minorHAnsi"/>
        </w:rPr>
        <w:t xml:space="preserve"> </w:t>
      </w:r>
      <w:r w:rsidRPr="00C3218D">
        <w:rPr>
          <w:rFonts w:asciiTheme="majorHAnsi" w:hAnsiTheme="majorHAnsi" w:cstheme="minorHAnsi"/>
        </w:rPr>
        <w:t xml:space="preserve">critical investment gaps and </w:t>
      </w:r>
      <w:r w:rsidR="00F60CED" w:rsidRPr="00C3218D">
        <w:rPr>
          <w:rFonts w:asciiTheme="majorHAnsi" w:hAnsiTheme="majorHAnsi" w:cstheme="minorHAnsi"/>
        </w:rPr>
        <w:t>economic</w:t>
      </w:r>
      <w:r w:rsidR="00F60CED">
        <w:rPr>
          <w:rFonts w:asciiTheme="majorHAnsi" w:hAnsiTheme="majorHAnsi" w:cstheme="minorHAnsi"/>
        </w:rPr>
        <w:t>ally</w:t>
      </w:r>
      <w:r w:rsidRPr="00C3218D">
        <w:rPr>
          <w:rFonts w:asciiTheme="majorHAnsi" w:hAnsiTheme="majorHAnsi" w:cstheme="minorHAnsi"/>
        </w:rPr>
        <w:t xml:space="preserve"> valuable projects should enable European policy-makers to make </w:t>
      </w:r>
      <w:r w:rsidR="00215F58" w:rsidRPr="00C3218D">
        <w:rPr>
          <w:rFonts w:asciiTheme="majorHAnsi" w:hAnsiTheme="majorHAnsi" w:cstheme="minorHAnsi"/>
        </w:rPr>
        <w:t>b</w:t>
      </w:r>
      <w:r w:rsidR="00215F58">
        <w:rPr>
          <w:rFonts w:asciiTheme="majorHAnsi" w:hAnsiTheme="majorHAnsi" w:cstheme="minorHAnsi"/>
        </w:rPr>
        <w:t>o</w:t>
      </w:r>
      <w:r w:rsidR="00215F58" w:rsidRPr="00C3218D">
        <w:rPr>
          <w:rFonts w:asciiTheme="majorHAnsi" w:hAnsiTheme="majorHAnsi" w:cstheme="minorHAnsi"/>
        </w:rPr>
        <w:t xml:space="preserve">ld </w:t>
      </w:r>
      <w:r w:rsidRPr="00C3218D">
        <w:rPr>
          <w:rFonts w:asciiTheme="majorHAnsi" w:hAnsiTheme="majorHAnsi" w:cstheme="minorHAnsi"/>
        </w:rPr>
        <w:t xml:space="preserve">and well-informed </w:t>
      </w:r>
      <w:r w:rsidR="00A2353B">
        <w:rPr>
          <w:rFonts w:asciiTheme="majorHAnsi" w:hAnsiTheme="majorHAnsi" w:cstheme="minorHAnsi"/>
        </w:rPr>
        <w:t xml:space="preserve">strategic </w:t>
      </w:r>
      <w:r w:rsidRPr="00C3218D">
        <w:rPr>
          <w:rFonts w:asciiTheme="majorHAnsi" w:hAnsiTheme="majorHAnsi" w:cstheme="minorHAnsi"/>
        </w:rPr>
        <w:t>decisions</w:t>
      </w:r>
      <w:r w:rsidR="00E9665D">
        <w:rPr>
          <w:rFonts w:asciiTheme="majorHAnsi" w:hAnsiTheme="majorHAnsi" w:cstheme="minorHAnsi"/>
        </w:rPr>
        <w:t xml:space="preserve"> sooner rather than later</w:t>
      </w:r>
      <w:r w:rsidRPr="00C3218D">
        <w:rPr>
          <w:rFonts w:asciiTheme="majorHAnsi" w:hAnsiTheme="majorHAnsi" w:cstheme="minorHAnsi"/>
        </w:rPr>
        <w:t>.</w:t>
      </w:r>
      <w:r>
        <w:rPr>
          <w:rFonts w:asciiTheme="majorHAnsi" w:hAnsiTheme="majorHAnsi" w:cstheme="minorHAnsi"/>
        </w:rPr>
        <w:t xml:space="preserve"> G</w:t>
      </w:r>
      <w:r w:rsidR="00773854" w:rsidRPr="00773854">
        <w:rPr>
          <w:rFonts w:asciiTheme="majorHAnsi" w:hAnsiTheme="majorHAnsi" w:cstheme="minorHAnsi"/>
        </w:rPr>
        <w:t xml:space="preserve">iven the current economic weakness </w:t>
      </w:r>
      <w:r w:rsidR="00F0439E">
        <w:rPr>
          <w:rFonts w:asciiTheme="majorHAnsi" w:hAnsiTheme="majorHAnsi" w:cstheme="minorHAnsi"/>
        </w:rPr>
        <w:t xml:space="preserve">of the European economy </w:t>
      </w:r>
      <w:r w:rsidR="00773854" w:rsidRPr="00773854">
        <w:rPr>
          <w:rFonts w:asciiTheme="majorHAnsi" w:hAnsiTheme="majorHAnsi" w:cstheme="minorHAnsi"/>
        </w:rPr>
        <w:t xml:space="preserve">and </w:t>
      </w:r>
      <w:r w:rsidR="00E15DB4">
        <w:rPr>
          <w:rFonts w:asciiTheme="majorHAnsi" w:hAnsiTheme="majorHAnsi" w:cstheme="minorHAnsi"/>
        </w:rPr>
        <w:t xml:space="preserve">the </w:t>
      </w:r>
      <w:r w:rsidR="00773854" w:rsidRPr="00773854">
        <w:rPr>
          <w:rFonts w:asciiTheme="majorHAnsi" w:hAnsiTheme="majorHAnsi" w:cstheme="minorHAnsi"/>
        </w:rPr>
        <w:t>dire forecast</w:t>
      </w:r>
      <w:r w:rsidR="005524D9">
        <w:rPr>
          <w:rFonts w:asciiTheme="majorHAnsi" w:hAnsiTheme="majorHAnsi" w:cstheme="minorHAnsi"/>
        </w:rPr>
        <w:t>s</w:t>
      </w:r>
      <w:r w:rsidR="00E15DB4">
        <w:rPr>
          <w:rFonts w:asciiTheme="majorHAnsi" w:hAnsiTheme="majorHAnsi" w:cstheme="minorHAnsi"/>
        </w:rPr>
        <w:t xml:space="preserve"> for its future</w:t>
      </w:r>
      <w:r w:rsidR="00773854" w:rsidRPr="00773854">
        <w:rPr>
          <w:rFonts w:asciiTheme="majorHAnsi" w:hAnsiTheme="majorHAnsi" w:cstheme="minorHAnsi"/>
        </w:rPr>
        <w:t>,</w:t>
      </w:r>
      <w:r w:rsidR="00B711CC">
        <w:rPr>
          <w:rFonts w:asciiTheme="majorHAnsi" w:hAnsiTheme="majorHAnsi" w:cstheme="minorHAnsi"/>
        </w:rPr>
        <w:t xml:space="preserve"> doing</w:t>
      </w:r>
      <w:r w:rsidR="00773854" w:rsidRPr="00773854">
        <w:rPr>
          <w:rFonts w:asciiTheme="majorHAnsi" w:hAnsiTheme="majorHAnsi" w:cstheme="minorHAnsi"/>
        </w:rPr>
        <w:t xml:space="preserve"> </w:t>
      </w:r>
      <w:r w:rsidR="00215F58">
        <w:rPr>
          <w:rFonts w:asciiTheme="majorHAnsi" w:hAnsiTheme="majorHAnsi" w:cstheme="minorHAnsi"/>
        </w:rPr>
        <w:t>“</w:t>
      </w:r>
      <w:r w:rsidR="00773854" w:rsidRPr="00773854">
        <w:rPr>
          <w:rFonts w:asciiTheme="majorHAnsi" w:hAnsiTheme="majorHAnsi" w:cstheme="minorHAnsi"/>
        </w:rPr>
        <w:t>too little</w:t>
      </w:r>
      <w:r w:rsidR="00215F58">
        <w:rPr>
          <w:rFonts w:asciiTheme="majorHAnsi" w:hAnsiTheme="majorHAnsi" w:cstheme="minorHAnsi"/>
        </w:rPr>
        <w:t>”</w:t>
      </w:r>
      <w:r w:rsidR="00773854" w:rsidRPr="00773854">
        <w:rPr>
          <w:rFonts w:asciiTheme="majorHAnsi" w:hAnsiTheme="majorHAnsi" w:cstheme="minorHAnsi"/>
        </w:rPr>
        <w:t xml:space="preserve"> </w:t>
      </w:r>
      <w:r w:rsidR="00215F58">
        <w:rPr>
          <w:rFonts w:asciiTheme="majorHAnsi" w:hAnsiTheme="majorHAnsi" w:cstheme="minorHAnsi"/>
        </w:rPr>
        <w:t>represents</w:t>
      </w:r>
      <w:r w:rsidR="00215F58" w:rsidRPr="00773854">
        <w:rPr>
          <w:rFonts w:asciiTheme="majorHAnsi" w:hAnsiTheme="majorHAnsi" w:cstheme="minorHAnsi"/>
        </w:rPr>
        <w:t xml:space="preserve"> </w:t>
      </w:r>
      <w:r w:rsidR="00773854" w:rsidRPr="00773854">
        <w:rPr>
          <w:rFonts w:asciiTheme="majorHAnsi" w:hAnsiTheme="majorHAnsi" w:cstheme="minorHAnsi"/>
        </w:rPr>
        <w:t xml:space="preserve">a greater danger than doing </w:t>
      </w:r>
      <w:r w:rsidR="00B711CC">
        <w:rPr>
          <w:rFonts w:asciiTheme="majorHAnsi" w:hAnsiTheme="majorHAnsi" w:cstheme="minorHAnsi"/>
        </w:rPr>
        <w:t>“</w:t>
      </w:r>
      <w:r w:rsidR="00773854" w:rsidRPr="00773854">
        <w:rPr>
          <w:rFonts w:asciiTheme="majorHAnsi" w:hAnsiTheme="majorHAnsi" w:cstheme="minorHAnsi"/>
        </w:rPr>
        <w:t>too much</w:t>
      </w:r>
      <w:r w:rsidR="00B711CC">
        <w:rPr>
          <w:rFonts w:asciiTheme="majorHAnsi" w:hAnsiTheme="majorHAnsi" w:cstheme="minorHAnsi"/>
        </w:rPr>
        <w:t>”</w:t>
      </w:r>
      <w:r w:rsidR="00773854" w:rsidRPr="00773854">
        <w:rPr>
          <w:rFonts w:asciiTheme="majorHAnsi" w:hAnsiTheme="majorHAnsi" w:cstheme="minorHAnsi"/>
        </w:rPr>
        <w:t>.</w:t>
      </w:r>
      <w:r>
        <w:rPr>
          <w:rFonts w:asciiTheme="majorHAnsi" w:hAnsiTheme="majorHAnsi" w:cstheme="minorHAnsi"/>
        </w:rPr>
        <w:t xml:space="preserve"> </w:t>
      </w:r>
    </w:p>
    <w:p w:rsidR="002273C4" w:rsidRPr="00245F82" w:rsidRDefault="002273C4" w:rsidP="00205EC9">
      <w:pPr>
        <w:spacing w:before="120"/>
        <w:jc w:val="both"/>
        <w:rPr>
          <w:rFonts w:asciiTheme="majorHAnsi" w:hAnsiTheme="majorHAnsi" w:cstheme="minorHAnsi"/>
        </w:rPr>
      </w:pPr>
    </w:p>
    <w:p w:rsidR="00EF1BA5" w:rsidRDefault="00EF1BA5" w:rsidP="00205EC9">
      <w:pPr>
        <w:spacing w:before="120"/>
        <w:jc w:val="both"/>
        <w:rPr>
          <w:rFonts w:asciiTheme="majorHAnsi" w:hAnsiTheme="majorHAnsi"/>
        </w:rPr>
        <w:sectPr w:rsidR="00EF1BA5" w:rsidSect="009F7344">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tbl>
      <w:tblPr>
        <w:tblW w:w="14089" w:type="dxa"/>
        <w:tblInd w:w="55" w:type="dxa"/>
        <w:tblLayout w:type="fixed"/>
        <w:tblCellMar>
          <w:left w:w="70" w:type="dxa"/>
          <w:right w:w="70" w:type="dxa"/>
        </w:tblCellMar>
        <w:tblLook w:val="04A0" w:firstRow="1" w:lastRow="0" w:firstColumn="1" w:lastColumn="0" w:noHBand="0" w:noVBand="1"/>
      </w:tblPr>
      <w:tblGrid>
        <w:gridCol w:w="1939"/>
        <w:gridCol w:w="1350"/>
        <w:gridCol w:w="1350"/>
        <w:gridCol w:w="1350"/>
        <w:gridCol w:w="1350"/>
        <w:gridCol w:w="1323"/>
        <w:gridCol w:w="1377"/>
        <w:gridCol w:w="1350"/>
        <w:gridCol w:w="1350"/>
        <w:gridCol w:w="1350"/>
      </w:tblGrid>
      <w:tr w:rsidR="00567163" w:rsidRPr="000126E4" w:rsidTr="009A2A3A">
        <w:trPr>
          <w:trHeight w:val="285"/>
        </w:trPr>
        <w:tc>
          <w:tcPr>
            <w:tcW w:w="1939" w:type="dxa"/>
            <w:vMerge w:val="restart"/>
            <w:tcBorders>
              <w:top w:val="single" w:sz="4" w:space="0" w:color="000000"/>
              <w:left w:val="single" w:sz="4" w:space="0" w:color="auto"/>
              <w:bottom w:val="single" w:sz="4" w:space="0" w:color="auto"/>
              <w:right w:val="single" w:sz="4" w:space="0" w:color="auto"/>
            </w:tcBorders>
            <w:shd w:val="clear" w:color="auto" w:fill="auto"/>
            <w:noWrap/>
            <w:hideMark/>
          </w:tcPr>
          <w:p w:rsidR="00567163" w:rsidRPr="000126E4" w:rsidRDefault="00567163" w:rsidP="00150C8A">
            <w:pPr>
              <w:jc w:val="center"/>
              <w:rPr>
                <w:rFonts w:asciiTheme="majorHAnsi" w:eastAsia="Times New Roman" w:hAnsiTheme="majorHAnsi" w:cs="Arial"/>
                <w:b/>
                <w:sz w:val="20"/>
                <w:szCs w:val="20"/>
                <w:lang w:eastAsia="pl-PL"/>
              </w:rPr>
            </w:pPr>
          </w:p>
        </w:tc>
        <w:tc>
          <w:tcPr>
            <w:tcW w:w="1350" w:type="dxa"/>
            <w:tcBorders>
              <w:top w:val="single" w:sz="4" w:space="0" w:color="000000"/>
              <w:left w:val="single" w:sz="4" w:space="0" w:color="auto"/>
              <w:bottom w:val="single" w:sz="4" w:space="0" w:color="auto"/>
              <w:right w:val="single" w:sz="4" w:space="0" w:color="auto"/>
            </w:tcBorders>
            <w:shd w:val="clear" w:color="auto" w:fill="auto"/>
            <w:noWrap/>
            <w:hideMark/>
          </w:tcPr>
          <w:p w:rsidR="00567163" w:rsidRPr="000126E4" w:rsidRDefault="00567163" w:rsidP="00150C8A">
            <w:pPr>
              <w:jc w:val="center"/>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ESM contribution key</w:t>
            </w:r>
            <w:r w:rsidR="009A2A3A" w:rsidRPr="009A2A3A">
              <w:rPr>
                <w:rFonts w:asciiTheme="majorHAnsi" w:eastAsia="Times New Roman" w:hAnsiTheme="majorHAnsi" w:cs="Arial"/>
                <w:b/>
                <w:sz w:val="20"/>
                <w:szCs w:val="20"/>
                <w:vertAlign w:val="superscript"/>
                <w:lang w:eastAsia="pl-PL"/>
              </w:rPr>
              <w:t>1</w:t>
            </w:r>
            <w:r w:rsidRPr="000126E4">
              <w:rPr>
                <w:rFonts w:asciiTheme="majorHAnsi" w:eastAsia="Times New Roman" w:hAnsiTheme="majorHAnsi" w:cs="Arial"/>
                <w:b/>
                <w:sz w:val="20"/>
                <w:szCs w:val="20"/>
                <w:lang w:eastAsia="pl-PL"/>
              </w:rPr>
              <w:t xml:space="preserve"> </w:t>
            </w:r>
            <w:r w:rsidRPr="009A2A3A">
              <w:rPr>
                <w:rFonts w:asciiTheme="majorHAnsi" w:eastAsia="Times New Roman" w:hAnsiTheme="majorHAnsi" w:cs="Arial"/>
                <w:sz w:val="20"/>
                <w:szCs w:val="20"/>
                <w:lang w:eastAsia="pl-PL"/>
              </w:rPr>
              <w:t>(including temporary corrections)</w:t>
            </w:r>
          </w:p>
          <w:p w:rsidR="00567163" w:rsidRPr="000126E4" w:rsidRDefault="00567163" w:rsidP="003E2818">
            <w:pPr>
              <w:jc w:val="center"/>
              <w:rPr>
                <w:rFonts w:asciiTheme="majorHAnsi" w:eastAsia="Times New Roman" w:hAnsiTheme="majorHAnsi" w:cs="Arial"/>
                <w:sz w:val="20"/>
                <w:szCs w:val="20"/>
                <w:lang w:eastAsia="pl-PL"/>
              </w:rPr>
            </w:pPr>
            <w:r w:rsidRPr="000126E4">
              <w:rPr>
                <w:rFonts w:asciiTheme="majorHAnsi" w:eastAsia="Times New Roman" w:hAnsiTheme="majorHAnsi" w:cs="Arial"/>
                <w:sz w:val="20"/>
                <w:szCs w:val="20"/>
                <w:lang w:eastAsia="pl-PL"/>
              </w:rPr>
              <w:t>(%)</w:t>
            </w:r>
          </w:p>
        </w:tc>
        <w:tc>
          <w:tcPr>
            <w:tcW w:w="1350" w:type="dxa"/>
            <w:tcBorders>
              <w:top w:val="single" w:sz="4" w:space="0" w:color="000000"/>
              <w:left w:val="single" w:sz="4" w:space="0" w:color="auto"/>
              <w:bottom w:val="single" w:sz="4" w:space="0" w:color="auto"/>
              <w:right w:val="single" w:sz="4" w:space="0" w:color="auto"/>
            </w:tcBorders>
            <w:shd w:val="clear" w:color="auto" w:fill="auto"/>
            <w:noWrap/>
            <w:hideMark/>
          </w:tcPr>
          <w:p w:rsidR="00567163" w:rsidRPr="000126E4" w:rsidRDefault="00567163" w:rsidP="00150C8A">
            <w:pPr>
              <w:jc w:val="center"/>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Investment capacity</w:t>
            </w:r>
          </w:p>
          <w:p w:rsidR="00567163" w:rsidRPr="000126E4" w:rsidRDefault="00567163" w:rsidP="00150C8A">
            <w:pPr>
              <w:jc w:val="center"/>
              <w:rPr>
                <w:rFonts w:asciiTheme="majorHAnsi" w:eastAsia="Times New Roman" w:hAnsiTheme="majorHAnsi" w:cs="Arial"/>
                <w:b/>
                <w:sz w:val="20"/>
                <w:szCs w:val="20"/>
                <w:lang w:eastAsia="pl-PL"/>
              </w:rPr>
            </w:pPr>
          </w:p>
          <w:p w:rsidR="00567163" w:rsidRPr="000126E4" w:rsidRDefault="00567163" w:rsidP="00150C8A">
            <w:pPr>
              <w:jc w:val="center"/>
              <w:rPr>
                <w:rFonts w:asciiTheme="majorHAnsi" w:eastAsia="Times New Roman" w:hAnsiTheme="majorHAnsi" w:cs="Arial"/>
                <w:b/>
                <w:sz w:val="20"/>
                <w:szCs w:val="20"/>
                <w:lang w:eastAsia="pl-PL"/>
              </w:rPr>
            </w:pPr>
          </w:p>
          <w:p w:rsidR="00567163" w:rsidRPr="000126E4" w:rsidRDefault="00567163" w:rsidP="00150C8A">
            <w:pPr>
              <w:jc w:val="center"/>
              <w:rPr>
                <w:rFonts w:asciiTheme="majorHAnsi" w:eastAsia="Times New Roman" w:hAnsiTheme="majorHAnsi" w:cs="Arial"/>
                <w:b/>
                <w:sz w:val="20"/>
                <w:szCs w:val="20"/>
                <w:lang w:eastAsia="pl-PL"/>
              </w:rPr>
            </w:pPr>
          </w:p>
          <w:p w:rsidR="00567163" w:rsidRPr="000126E4" w:rsidRDefault="00567163" w:rsidP="00150C8A">
            <w:pPr>
              <w:jc w:val="center"/>
              <w:rPr>
                <w:rFonts w:asciiTheme="majorHAnsi" w:eastAsia="Times New Roman" w:hAnsiTheme="majorHAnsi" w:cs="Arial"/>
                <w:b/>
                <w:sz w:val="20"/>
                <w:szCs w:val="20"/>
                <w:lang w:eastAsia="pl-PL"/>
              </w:rPr>
            </w:pPr>
          </w:p>
          <w:p w:rsidR="00567163" w:rsidRPr="000126E4" w:rsidRDefault="00567163" w:rsidP="00150C8A">
            <w:pPr>
              <w:jc w:val="center"/>
              <w:rPr>
                <w:rFonts w:asciiTheme="majorHAnsi" w:eastAsia="Times New Roman" w:hAnsiTheme="majorHAnsi" w:cs="Arial"/>
                <w:sz w:val="20"/>
                <w:szCs w:val="20"/>
                <w:lang w:eastAsia="pl-PL"/>
              </w:rPr>
            </w:pPr>
            <w:r w:rsidRPr="000126E4">
              <w:rPr>
                <w:rFonts w:asciiTheme="majorHAnsi" w:eastAsia="Times New Roman" w:hAnsiTheme="majorHAnsi" w:cs="Arial"/>
                <w:sz w:val="20"/>
                <w:szCs w:val="20"/>
                <w:lang w:eastAsia="pl-PL"/>
              </w:rPr>
              <w:t>(</w:t>
            </w:r>
            <w:proofErr w:type="spellStart"/>
            <w:r w:rsidRPr="000126E4">
              <w:rPr>
                <w:rFonts w:asciiTheme="majorHAnsi" w:eastAsia="Times New Roman" w:hAnsiTheme="majorHAnsi" w:cs="Arial"/>
                <w:sz w:val="20"/>
                <w:szCs w:val="20"/>
                <w:lang w:eastAsia="pl-PL"/>
              </w:rPr>
              <w:t>bn</w:t>
            </w:r>
            <w:proofErr w:type="spellEnd"/>
            <w:r w:rsidRPr="000126E4">
              <w:rPr>
                <w:rFonts w:asciiTheme="majorHAnsi" w:eastAsia="Times New Roman" w:hAnsiTheme="majorHAnsi" w:cs="Arial"/>
                <w:sz w:val="20"/>
                <w:szCs w:val="20"/>
                <w:lang w:eastAsia="pl-PL"/>
              </w:rPr>
              <w:t xml:space="preserve"> Euro)</w:t>
            </w:r>
          </w:p>
        </w:tc>
        <w:tc>
          <w:tcPr>
            <w:tcW w:w="1350" w:type="dxa"/>
            <w:tcBorders>
              <w:top w:val="single" w:sz="4" w:space="0" w:color="000000"/>
              <w:left w:val="single" w:sz="4" w:space="0" w:color="auto"/>
              <w:bottom w:val="single" w:sz="4" w:space="0" w:color="auto"/>
              <w:right w:val="single" w:sz="4" w:space="0" w:color="auto"/>
            </w:tcBorders>
            <w:shd w:val="clear" w:color="auto" w:fill="auto"/>
            <w:noWrap/>
            <w:hideMark/>
          </w:tcPr>
          <w:p w:rsidR="00567163" w:rsidRPr="000126E4" w:rsidRDefault="00567163" w:rsidP="00150C8A">
            <w:pPr>
              <w:jc w:val="center"/>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Paid-in capital</w:t>
            </w:r>
          </w:p>
          <w:p w:rsidR="00567163" w:rsidRPr="000126E4" w:rsidRDefault="00567163" w:rsidP="00150C8A">
            <w:pPr>
              <w:jc w:val="center"/>
              <w:rPr>
                <w:rFonts w:asciiTheme="majorHAnsi" w:eastAsia="Times New Roman" w:hAnsiTheme="majorHAnsi" w:cs="Arial"/>
                <w:b/>
                <w:sz w:val="20"/>
                <w:szCs w:val="20"/>
                <w:lang w:eastAsia="pl-PL"/>
              </w:rPr>
            </w:pPr>
          </w:p>
          <w:p w:rsidR="00567163" w:rsidRPr="000126E4" w:rsidRDefault="00567163" w:rsidP="00150C8A">
            <w:pPr>
              <w:jc w:val="center"/>
              <w:rPr>
                <w:rFonts w:asciiTheme="majorHAnsi" w:eastAsia="Times New Roman" w:hAnsiTheme="majorHAnsi" w:cs="Arial"/>
                <w:b/>
                <w:sz w:val="20"/>
                <w:szCs w:val="20"/>
                <w:lang w:eastAsia="pl-PL"/>
              </w:rPr>
            </w:pPr>
          </w:p>
          <w:p w:rsidR="00567163" w:rsidRPr="000126E4" w:rsidRDefault="00567163" w:rsidP="00150C8A">
            <w:pPr>
              <w:jc w:val="center"/>
              <w:rPr>
                <w:rFonts w:asciiTheme="majorHAnsi" w:eastAsia="Times New Roman" w:hAnsiTheme="majorHAnsi" w:cs="Arial"/>
                <w:b/>
                <w:sz w:val="20"/>
                <w:szCs w:val="20"/>
                <w:lang w:eastAsia="pl-PL"/>
              </w:rPr>
            </w:pPr>
          </w:p>
          <w:p w:rsidR="00567163" w:rsidRPr="000126E4" w:rsidRDefault="00567163" w:rsidP="00150C8A">
            <w:pPr>
              <w:jc w:val="center"/>
              <w:rPr>
                <w:rFonts w:asciiTheme="majorHAnsi" w:eastAsia="Times New Roman" w:hAnsiTheme="majorHAnsi" w:cs="Arial"/>
                <w:b/>
                <w:sz w:val="20"/>
                <w:szCs w:val="20"/>
                <w:lang w:eastAsia="pl-PL"/>
              </w:rPr>
            </w:pPr>
          </w:p>
          <w:p w:rsidR="00567163" w:rsidRPr="000126E4" w:rsidRDefault="00567163" w:rsidP="00150C8A">
            <w:pPr>
              <w:jc w:val="center"/>
              <w:rPr>
                <w:rFonts w:asciiTheme="majorHAnsi" w:eastAsia="Times New Roman" w:hAnsiTheme="majorHAnsi" w:cs="Arial"/>
                <w:sz w:val="20"/>
                <w:szCs w:val="20"/>
                <w:lang w:eastAsia="pl-PL"/>
              </w:rPr>
            </w:pPr>
            <w:r w:rsidRPr="000126E4">
              <w:rPr>
                <w:rFonts w:asciiTheme="majorHAnsi" w:eastAsia="Times New Roman" w:hAnsiTheme="majorHAnsi" w:cs="Arial"/>
                <w:sz w:val="20"/>
                <w:szCs w:val="20"/>
                <w:lang w:eastAsia="pl-PL"/>
              </w:rPr>
              <w:t>(</w:t>
            </w:r>
            <w:proofErr w:type="spellStart"/>
            <w:r w:rsidRPr="000126E4">
              <w:rPr>
                <w:rFonts w:asciiTheme="majorHAnsi" w:eastAsia="Times New Roman" w:hAnsiTheme="majorHAnsi" w:cs="Arial"/>
                <w:sz w:val="20"/>
                <w:szCs w:val="20"/>
                <w:lang w:eastAsia="pl-PL"/>
              </w:rPr>
              <w:t>bn</w:t>
            </w:r>
            <w:proofErr w:type="spellEnd"/>
            <w:r w:rsidRPr="000126E4">
              <w:rPr>
                <w:rFonts w:asciiTheme="majorHAnsi" w:eastAsia="Times New Roman" w:hAnsiTheme="majorHAnsi" w:cs="Arial"/>
                <w:sz w:val="20"/>
                <w:szCs w:val="20"/>
                <w:lang w:eastAsia="pl-PL"/>
              </w:rPr>
              <w:t xml:space="preserve"> Euro)</w:t>
            </w:r>
          </w:p>
        </w:tc>
        <w:tc>
          <w:tcPr>
            <w:tcW w:w="1350" w:type="dxa"/>
            <w:tcBorders>
              <w:top w:val="single" w:sz="4" w:space="0" w:color="000000"/>
              <w:left w:val="single" w:sz="4" w:space="0" w:color="auto"/>
              <w:bottom w:val="single" w:sz="4" w:space="0" w:color="auto"/>
              <w:right w:val="single" w:sz="4" w:space="0" w:color="000000"/>
            </w:tcBorders>
          </w:tcPr>
          <w:p w:rsidR="00567163" w:rsidRPr="000126E4" w:rsidRDefault="00567163" w:rsidP="00150C8A">
            <w:pPr>
              <w:jc w:val="center"/>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Total subscribed capital</w:t>
            </w:r>
          </w:p>
          <w:p w:rsidR="00567163" w:rsidRPr="000126E4" w:rsidRDefault="00567163" w:rsidP="00150C8A">
            <w:pPr>
              <w:jc w:val="center"/>
              <w:rPr>
                <w:rFonts w:asciiTheme="majorHAnsi" w:eastAsia="Times New Roman" w:hAnsiTheme="majorHAnsi" w:cs="Arial"/>
                <w:b/>
                <w:sz w:val="20"/>
                <w:szCs w:val="20"/>
                <w:lang w:eastAsia="pl-PL"/>
              </w:rPr>
            </w:pPr>
          </w:p>
          <w:p w:rsidR="00567163" w:rsidRPr="000126E4" w:rsidRDefault="00567163" w:rsidP="00150C8A">
            <w:pPr>
              <w:jc w:val="center"/>
              <w:rPr>
                <w:rFonts w:asciiTheme="majorHAnsi" w:eastAsia="Times New Roman" w:hAnsiTheme="majorHAnsi" w:cs="Arial"/>
                <w:b/>
                <w:sz w:val="20"/>
                <w:szCs w:val="20"/>
                <w:lang w:eastAsia="pl-PL"/>
              </w:rPr>
            </w:pPr>
          </w:p>
          <w:p w:rsidR="00567163" w:rsidRPr="000126E4" w:rsidRDefault="00567163" w:rsidP="00150C8A">
            <w:pPr>
              <w:jc w:val="center"/>
              <w:rPr>
                <w:rFonts w:asciiTheme="majorHAnsi" w:eastAsia="Times New Roman" w:hAnsiTheme="majorHAnsi" w:cs="Arial"/>
                <w:b/>
                <w:sz w:val="20"/>
                <w:szCs w:val="20"/>
                <w:lang w:eastAsia="pl-PL"/>
              </w:rPr>
            </w:pPr>
          </w:p>
          <w:p w:rsidR="00567163" w:rsidRPr="000126E4" w:rsidRDefault="00567163" w:rsidP="00150C8A">
            <w:pPr>
              <w:jc w:val="center"/>
              <w:rPr>
                <w:rFonts w:asciiTheme="majorHAnsi" w:eastAsia="Times New Roman" w:hAnsiTheme="majorHAnsi" w:cs="Arial"/>
                <w:sz w:val="20"/>
                <w:szCs w:val="20"/>
                <w:lang w:eastAsia="pl-PL"/>
              </w:rPr>
            </w:pPr>
            <w:r w:rsidRPr="000126E4">
              <w:rPr>
                <w:rFonts w:asciiTheme="majorHAnsi" w:eastAsia="Times New Roman" w:hAnsiTheme="majorHAnsi" w:cs="Arial"/>
                <w:sz w:val="20"/>
                <w:szCs w:val="20"/>
                <w:lang w:eastAsia="pl-PL"/>
              </w:rPr>
              <w:t>(</w:t>
            </w:r>
            <w:proofErr w:type="spellStart"/>
            <w:r w:rsidRPr="000126E4">
              <w:rPr>
                <w:rFonts w:asciiTheme="majorHAnsi" w:eastAsia="Times New Roman" w:hAnsiTheme="majorHAnsi" w:cs="Arial"/>
                <w:sz w:val="20"/>
                <w:szCs w:val="20"/>
                <w:lang w:eastAsia="pl-PL"/>
              </w:rPr>
              <w:t>bn</w:t>
            </w:r>
            <w:proofErr w:type="spellEnd"/>
            <w:r w:rsidRPr="000126E4">
              <w:rPr>
                <w:rFonts w:asciiTheme="majorHAnsi" w:eastAsia="Times New Roman" w:hAnsiTheme="majorHAnsi" w:cs="Arial"/>
                <w:sz w:val="20"/>
                <w:szCs w:val="20"/>
                <w:lang w:eastAsia="pl-PL"/>
              </w:rPr>
              <w:t xml:space="preserve"> Euro)</w:t>
            </w:r>
          </w:p>
        </w:tc>
        <w:tc>
          <w:tcPr>
            <w:tcW w:w="1323" w:type="dxa"/>
            <w:tcBorders>
              <w:top w:val="single" w:sz="4" w:space="0" w:color="000000"/>
              <w:left w:val="single" w:sz="4" w:space="0" w:color="000000"/>
              <w:bottom w:val="single" w:sz="4" w:space="0" w:color="auto"/>
              <w:right w:val="single" w:sz="4" w:space="0" w:color="auto"/>
            </w:tcBorders>
            <w:shd w:val="clear" w:color="auto" w:fill="auto"/>
            <w:noWrap/>
            <w:hideMark/>
          </w:tcPr>
          <w:p w:rsidR="00567163" w:rsidRPr="000126E4" w:rsidRDefault="00567163" w:rsidP="00150C8A">
            <w:pPr>
              <w:jc w:val="center"/>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GDP</w:t>
            </w:r>
          </w:p>
          <w:p w:rsidR="00567163" w:rsidRPr="000126E4" w:rsidRDefault="00567163" w:rsidP="00150C8A">
            <w:pPr>
              <w:jc w:val="center"/>
              <w:rPr>
                <w:rFonts w:asciiTheme="majorHAnsi" w:eastAsia="Times New Roman" w:hAnsiTheme="majorHAnsi" w:cs="Arial"/>
                <w:b/>
                <w:sz w:val="20"/>
                <w:szCs w:val="20"/>
                <w:lang w:eastAsia="pl-PL"/>
              </w:rPr>
            </w:pPr>
          </w:p>
          <w:p w:rsidR="00567163" w:rsidRPr="000126E4" w:rsidRDefault="00567163" w:rsidP="00150C8A">
            <w:pPr>
              <w:jc w:val="center"/>
              <w:rPr>
                <w:rFonts w:asciiTheme="majorHAnsi" w:eastAsia="Times New Roman" w:hAnsiTheme="majorHAnsi" w:cs="Arial"/>
                <w:b/>
                <w:sz w:val="20"/>
                <w:szCs w:val="20"/>
                <w:lang w:eastAsia="pl-PL"/>
              </w:rPr>
            </w:pPr>
          </w:p>
          <w:p w:rsidR="00567163" w:rsidRPr="000126E4" w:rsidRDefault="00567163" w:rsidP="00150C8A">
            <w:pPr>
              <w:jc w:val="center"/>
              <w:rPr>
                <w:rFonts w:asciiTheme="majorHAnsi" w:eastAsia="Times New Roman" w:hAnsiTheme="majorHAnsi" w:cs="Arial"/>
                <w:b/>
                <w:sz w:val="20"/>
                <w:szCs w:val="20"/>
                <w:lang w:eastAsia="pl-PL"/>
              </w:rPr>
            </w:pPr>
          </w:p>
          <w:p w:rsidR="00567163" w:rsidRPr="000126E4" w:rsidRDefault="00567163" w:rsidP="00150C8A">
            <w:pPr>
              <w:jc w:val="center"/>
              <w:rPr>
                <w:rFonts w:asciiTheme="majorHAnsi" w:eastAsia="Times New Roman" w:hAnsiTheme="majorHAnsi" w:cs="Arial"/>
                <w:b/>
                <w:sz w:val="20"/>
                <w:szCs w:val="20"/>
                <w:lang w:eastAsia="pl-PL"/>
              </w:rPr>
            </w:pPr>
          </w:p>
          <w:p w:rsidR="00567163" w:rsidRPr="000126E4" w:rsidRDefault="00567163" w:rsidP="00150C8A">
            <w:pPr>
              <w:jc w:val="center"/>
              <w:rPr>
                <w:rFonts w:asciiTheme="majorHAnsi" w:eastAsia="Times New Roman" w:hAnsiTheme="majorHAnsi" w:cs="Arial"/>
                <w:b/>
                <w:sz w:val="20"/>
                <w:szCs w:val="20"/>
                <w:lang w:eastAsia="pl-PL"/>
              </w:rPr>
            </w:pPr>
          </w:p>
          <w:p w:rsidR="00567163" w:rsidRPr="000126E4" w:rsidRDefault="00567163" w:rsidP="00150C8A">
            <w:pPr>
              <w:jc w:val="center"/>
              <w:rPr>
                <w:rFonts w:asciiTheme="majorHAnsi" w:eastAsia="Times New Roman" w:hAnsiTheme="majorHAnsi" w:cs="Arial"/>
                <w:sz w:val="20"/>
                <w:szCs w:val="20"/>
                <w:lang w:eastAsia="pl-PL"/>
              </w:rPr>
            </w:pPr>
            <w:r w:rsidRPr="000126E4">
              <w:rPr>
                <w:rFonts w:asciiTheme="majorHAnsi" w:eastAsia="Times New Roman" w:hAnsiTheme="majorHAnsi" w:cs="Arial"/>
                <w:sz w:val="20"/>
                <w:szCs w:val="20"/>
                <w:lang w:eastAsia="pl-PL"/>
              </w:rPr>
              <w:t>(</w:t>
            </w:r>
            <w:proofErr w:type="spellStart"/>
            <w:r w:rsidRPr="000126E4">
              <w:rPr>
                <w:rFonts w:asciiTheme="majorHAnsi" w:eastAsia="Times New Roman" w:hAnsiTheme="majorHAnsi" w:cs="Arial"/>
                <w:sz w:val="20"/>
                <w:szCs w:val="20"/>
                <w:lang w:eastAsia="pl-PL"/>
              </w:rPr>
              <w:t>bn</w:t>
            </w:r>
            <w:proofErr w:type="spellEnd"/>
            <w:r w:rsidRPr="000126E4">
              <w:rPr>
                <w:rFonts w:asciiTheme="majorHAnsi" w:eastAsia="Times New Roman" w:hAnsiTheme="majorHAnsi" w:cs="Arial"/>
                <w:sz w:val="20"/>
                <w:szCs w:val="20"/>
                <w:lang w:eastAsia="pl-PL"/>
              </w:rPr>
              <w:t xml:space="preserve"> Euro)</w:t>
            </w:r>
          </w:p>
        </w:tc>
        <w:tc>
          <w:tcPr>
            <w:tcW w:w="1377" w:type="dxa"/>
            <w:tcBorders>
              <w:top w:val="single" w:sz="4" w:space="0" w:color="000000"/>
              <w:left w:val="single" w:sz="4" w:space="0" w:color="auto"/>
              <w:bottom w:val="single" w:sz="4" w:space="0" w:color="auto"/>
              <w:right w:val="single" w:sz="4" w:space="0" w:color="auto"/>
            </w:tcBorders>
            <w:shd w:val="clear" w:color="auto" w:fill="auto"/>
            <w:noWrap/>
            <w:hideMark/>
          </w:tcPr>
          <w:p w:rsidR="00567163" w:rsidRDefault="00567163" w:rsidP="00150C8A">
            <w:pPr>
              <w:jc w:val="center"/>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10Y Bond yield</w:t>
            </w:r>
          </w:p>
          <w:p w:rsidR="009A2A3A" w:rsidRPr="009A2A3A" w:rsidRDefault="009A2A3A" w:rsidP="00150C8A">
            <w:pPr>
              <w:jc w:val="center"/>
              <w:rPr>
                <w:rFonts w:asciiTheme="majorHAnsi" w:eastAsia="Times New Roman" w:hAnsiTheme="majorHAnsi" w:cs="Arial"/>
                <w:sz w:val="20"/>
                <w:szCs w:val="20"/>
                <w:lang w:eastAsia="pl-PL"/>
              </w:rPr>
            </w:pPr>
            <w:r w:rsidRPr="009A2A3A">
              <w:rPr>
                <w:rFonts w:asciiTheme="majorHAnsi" w:eastAsia="Times New Roman" w:hAnsiTheme="majorHAnsi" w:cs="Arial"/>
                <w:sz w:val="20"/>
                <w:szCs w:val="20"/>
                <w:lang w:eastAsia="pl-PL"/>
              </w:rPr>
              <w:t>(denominated in euro)</w:t>
            </w:r>
            <w:r w:rsidR="003867F7" w:rsidRPr="003867F7">
              <w:rPr>
                <w:rFonts w:asciiTheme="majorHAnsi" w:eastAsia="Times New Roman" w:hAnsiTheme="majorHAnsi" w:cs="Arial"/>
                <w:sz w:val="20"/>
                <w:szCs w:val="20"/>
                <w:vertAlign w:val="superscript"/>
                <w:lang w:eastAsia="pl-PL"/>
              </w:rPr>
              <w:t>2</w:t>
            </w:r>
          </w:p>
          <w:p w:rsidR="003E2818" w:rsidRPr="000126E4" w:rsidRDefault="003E2818" w:rsidP="00150C8A">
            <w:pPr>
              <w:jc w:val="center"/>
              <w:rPr>
                <w:rFonts w:asciiTheme="majorHAnsi" w:eastAsia="Times New Roman" w:hAnsiTheme="majorHAnsi" w:cs="Arial"/>
                <w:b/>
                <w:sz w:val="20"/>
                <w:szCs w:val="20"/>
                <w:lang w:eastAsia="pl-PL"/>
              </w:rPr>
            </w:pPr>
          </w:p>
          <w:p w:rsidR="003E2818" w:rsidRPr="000126E4" w:rsidRDefault="003E2818" w:rsidP="00150C8A">
            <w:pPr>
              <w:jc w:val="center"/>
              <w:rPr>
                <w:rFonts w:asciiTheme="majorHAnsi" w:eastAsia="Times New Roman" w:hAnsiTheme="majorHAnsi" w:cs="Arial"/>
                <w:b/>
                <w:sz w:val="20"/>
                <w:szCs w:val="20"/>
                <w:lang w:eastAsia="pl-PL"/>
              </w:rPr>
            </w:pPr>
          </w:p>
          <w:p w:rsidR="003E2818" w:rsidRPr="000126E4" w:rsidRDefault="003E2818" w:rsidP="003E2818">
            <w:pPr>
              <w:jc w:val="center"/>
              <w:rPr>
                <w:rFonts w:asciiTheme="majorHAnsi" w:eastAsia="Times New Roman" w:hAnsiTheme="majorHAnsi" w:cs="Arial"/>
                <w:sz w:val="20"/>
                <w:szCs w:val="20"/>
                <w:lang w:eastAsia="pl-PL"/>
              </w:rPr>
            </w:pPr>
            <w:r w:rsidRPr="000126E4">
              <w:rPr>
                <w:rFonts w:asciiTheme="majorHAnsi" w:eastAsia="Times New Roman" w:hAnsiTheme="majorHAnsi" w:cs="Arial"/>
                <w:sz w:val="20"/>
                <w:szCs w:val="20"/>
                <w:lang w:eastAsia="pl-PL"/>
              </w:rPr>
              <w:t>(%)</w:t>
            </w:r>
          </w:p>
        </w:tc>
        <w:tc>
          <w:tcPr>
            <w:tcW w:w="1350" w:type="dxa"/>
            <w:tcBorders>
              <w:top w:val="single" w:sz="4" w:space="0" w:color="000000"/>
              <w:left w:val="single" w:sz="4" w:space="0" w:color="auto"/>
              <w:bottom w:val="single" w:sz="4" w:space="0" w:color="auto"/>
              <w:right w:val="single" w:sz="4" w:space="0" w:color="auto"/>
            </w:tcBorders>
            <w:shd w:val="clear" w:color="auto" w:fill="auto"/>
            <w:noWrap/>
            <w:hideMark/>
          </w:tcPr>
          <w:p w:rsidR="00567163" w:rsidRPr="000126E4" w:rsidRDefault="00567163" w:rsidP="00150C8A">
            <w:pPr>
              <w:jc w:val="center"/>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Impact of paid-in capital on deficit</w:t>
            </w:r>
          </w:p>
          <w:p w:rsidR="00567163" w:rsidRPr="000126E4" w:rsidRDefault="00567163" w:rsidP="00150C8A">
            <w:pPr>
              <w:jc w:val="center"/>
              <w:rPr>
                <w:rFonts w:asciiTheme="majorHAnsi" w:eastAsia="Times New Roman" w:hAnsiTheme="majorHAnsi" w:cs="Arial"/>
                <w:b/>
                <w:sz w:val="20"/>
                <w:szCs w:val="20"/>
                <w:lang w:eastAsia="pl-PL"/>
              </w:rPr>
            </w:pPr>
          </w:p>
          <w:p w:rsidR="003E2818" w:rsidRPr="000126E4" w:rsidRDefault="003E2818" w:rsidP="00150C8A">
            <w:pPr>
              <w:jc w:val="center"/>
              <w:rPr>
                <w:rFonts w:asciiTheme="majorHAnsi" w:eastAsia="Times New Roman" w:hAnsiTheme="majorHAnsi" w:cs="Arial"/>
                <w:b/>
                <w:sz w:val="20"/>
                <w:szCs w:val="20"/>
                <w:lang w:eastAsia="pl-PL"/>
              </w:rPr>
            </w:pPr>
          </w:p>
          <w:p w:rsidR="003E2818" w:rsidRPr="000126E4" w:rsidRDefault="00567163" w:rsidP="003E2818">
            <w:pPr>
              <w:jc w:val="center"/>
              <w:rPr>
                <w:rFonts w:asciiTheme="majorHAnsi" w:eastAsia="Times New Roman" w:hAnsiTheme="majorHAnsi" w:cs="Arial"/>
                <w:sz w:val="20"/>
                <w:szCs w:val="20"/>
                <w:lang w:eastAsia="pl-PL"/>
              </w:rPr>
            </w:pPr>
            <w:r w:rsidRPr="000126E4">
              <w:rPr>
                <w:rFonts w:asciiTheme="majorHAnsi" w:eastAsia="Times New Roman" w:hAnsiTheme="majorHAnsi" w:cs="Arial"/>
                <w:sz w:val="20"/>
                <w:szCs w:val="20"/>
                <w:lang w:eastAsia="pl-PL"/>
              </w:rPr>
              <w:t>(% of GDP)</w:t>
            </w:r>
          </w:p>
        </w:tc>
        <w:tc>
          <w:tcPr>
            <w:tcW w:w="1350" w:type="dxa"/>
            <w:tcBorders>
              <w:top w:val="single" w:sz="4" w:space="0" w:color="000000"/>
              <w:left w:val="single" w:sz="4" w:space="0" w:color="auto"/>
              <w:bottom w:val="single" w:sz="4" w:space="0" w:color="auto"/>
              <w:right w:val="single" w:sz="4" w:space="0" w:color="auto"/>
            </w:tcBorders>
            <w:shd w:val="clear" w:color="auto" w:fill="auto"/>
            <w:noWrap/>
            <w:hideMark/>
          </w:tcPr>
          <w:p w:rsidR="00567163" w:rsidRPr="000126E4" w:rsidRDefault="00567163" w:rsidP="00150C8A">
            <w:pPr>
              <w:jc w:val="center"/>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Public debt</w:t>
            </w:r>
          </w:p>
          <w:p w:rsidR="00567163" w:rsidRPr="000126E4" w:rsidRDefault="00567163" w:rsidP="00150C8A">
            <w:pPr>
              <w:jc w:val="center"/>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2013</w:t>
            </w:r>
          </w:p>
          <w:p w:rsidR="003E2818" w:rsidRPr="000126E4" w:rsidRDefault="003E2818" w:rsidP="00150C8A">
            <w:pPr>
              <w:jc w:val="center"/>
              <w:rPr>
                <w:rFonts w:asciiTheme="majorHAnsi" w:eastAsia="Times New Roman" w:hAnsiTheme="majorHAnsi" w:cs="Arial"/>
                <w:b/>
                <w:sz w:val="20"/>
                <w:szCs w:val="20"/>
                <w:lang w:eastAsia="pl-PL"/>
              </w:rPr>
            </w:pPr>
          </w:p>
          <w:p w:rsidR="003E2818" w:rsidRPr="000126E4" w:rsidRDefault="003E2818" w:rsidP="00150C8A">
            <w:pPr>
              <w:jc w:val="center"/>
              <w:rPr>
                <w:rFonts w:asciiTheme="majorHAnsi" w:eastAsia="Times New Roman" w:hAnsiTheme="majorHAnsi" w:cs="Arial"/>
                <w:b/>
                <w:sz w:val="20"/>
                <w:szCs w:val="20"/>
                <w:lang w:eastAsia="pl-PL"/>
              </w:rPr>
            </w:pPr>
          </w:p>
          <w:p w:rsidR="003E2818" w:rsidRPr="000126E4" w:rsidRDefault="003E2818" w:rsidP="00150C8A">
            <w:pPr>
              <w:jc w:val="center"/>
              <w:rPr>
                <w:rFonts w:asciiTheme="majorHAnsi" w:eastAsia="Times New Roman" w:hAnsiTheme="majorHAnsi" w:cs="Arial"/>
                <w:b/>
                <w:sz w:val="20"/>
                <w:szCs w:val="20"/>
                <w:lang w:eastAsia="pl-PL"/>
              </w:rPr>
            </w:pPr>
          </w:p>
          <w:p w:rsidR="003E2818" w:rsidRPr="000126E4" w:rsidRDefault="003E2818" w:rsidP="00150C8A">
            <w:pPr>
              <w:jc w:val="center"/>
              <w:rPr>
                <w:rFonts w:asciiTheme="majorHAnsi" w:eastAsia="Times New Roman" w:hAnsiTheme="majorHAnsi" w:cs="Arial"/>
                <w:b/>
                <w:sz w:val="20"/>
                <w:szCs w:val="20"/>
                <w:lang w:eastAsia="pl-PL"/>
              </w:rPr>
            </w:pPr>
          </w:p>
          <w:p w:rsidR="003E2818" w:rsidRPr="000126E4" w:rsidRDefault="003E2818" w:rsidP="00150C8A">
            <w:pPr>
              <w:jc w:val="center"/>
              <w:rPr>
                <w:rFonts w:asciiTheme="majorHAnsi" w:eastAsia="Times New Roman" w:hAnsiTheme="majorHAnsi" w:cs="Arial"/>
                <w:sz w:val="20"/>
                <w:szCs w:val="20"/>
                <w:lang w:eastAsia="pl-PL"/>
              </w:rPr>
            </w:pPr>
            <w:r w:rsidRPr="000126E4">
              <w:rPr>
                <w:rFonts w:asciiTheme="majorHAnsi" w:eastAsia="Times New Roman" w:hAnsiTheme="majorHAnsi" w:cs="Arial"/>
                <w:sz w:val="20"/>
                <w:szCs w:val="20"/>
                <w:lang w:eastAsia="pl-PL"/>
              </w:rPr>
              <w:t>(</w:t>
            </w:r>
            <w:proofErr w:type="spellStart"/>
            <w:r w:rsidRPr="000126E4">
              <w:rPr>
                <w:rFonts w:asciiTheme="majorHAnsi" w:eastAsia="Times New Roman" w:hAnsiTheme="majorHAnsi" w:cs="Arial"/>
                <w:sz w:val="20"/>
                <w:szCs w:val="20"/>
                <w:lang w:eastAsia="pl-PL"/>
              </w:rPr>
              <w:t>bn</w:t>
            </w:r>
            <w:proofErr w:type="spellEnd"/>
            <w:r w:rsidRPr="000126E4">
              <w:rPr>
                <w:rFonts w:asciiTheme="majorHAnsi" w:eastAsia="Times New Roman" w:hAnsiTheme="majorHAnsi" w:cs="Arial"/>
                <w:sz w:val="20"/>
                <w:szCs w:val="20"/>
                <w:lang w:eastAsia="pl-PL"/>
              </w:rPr>
              <w:t xml:space="preserve"> Euro)</w:t>
            </w:r>
          </w:p>
        </w:tc>
        <w:tc>
          <w:tcPr>
            <w:tcW w:w="1350" w:type="dxa"/>
            <w:tcBorders>
              <w:top w:val="single" w:sz="4" w:space="0" w:color="000000"/>
              <w:left w:val="single" w:sz="4" w:space="0" w:color="auto"/>
              <w:bottom w:val="single" w:sz="4" w:space="0" w:color="auto"/>
              <w:right w:val="single" w:sz="4" w:space="0" w:color="auto"/>
            </w:tcBorders>
            <w:shd w:val="clear" w:color="auto" w:fill="auto"/>
            <w:noWrap/>
            <w:hideMark/>
          </w:tcPr>
          <w:p w:rsidR="00567163" w:rsidRPr="000126E4" w:rsidRDefault="00567163" w:rsidP="00150C8A">
            <w:pPr>
              <w:jc w:val="center"/>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Impact of paid-in capital on public debt</w:t>
            </w:r>
          </w:p>
          <w:p w:rsidR="00567163" w:rsidRPr="000126E4" w:rsidRDefault="00567163" w:rsidP="00150C8A">
            <w:pPr>
              <w:jc w:val="center"/>
              <w:rPr>
                <w:rFonts w:asciiTheme="majorHAnsi" w:eastAsia="Times New Roman" w:hAnsiTheme="majorHAnsi" w:cs="Arial"/>
                <w:b/>
                <w:sz w:val="20"/>
                <w:szCs w:val="20"/>
                <w:lang w:eastAsia="pl-PL"/>
              </w:rPr>
            </w:pPr>
          </w:p>
          <w:p w:rsidR="00567163" w:rsidRPr="000126E4" w:rsidRDefault="00567163" w:rsidP="00150C8A">
            <w:pPr>
              <w:jc w:val="center"/>
              <w:rPr>
                <w:rFonts w:asciiTheme="majorHAnsi" w:eastAsia="Times New Roman" w:hAnsiTheme="majorHAnsi" w:cs="Arial"/>
                <w:b/>
                <w:sz w:val="20"/>
                <w:szCs w:val="20"/>
                <w:lang w:eastAsia="pl-PL"/>
              </w:rPr>
            </w:pPr>
          </w:p>
          <w:p w:rsidR="00567163" w:rsidRPr="000126E4" w:rsidRDefault="00567163" w:rsidP="00150C8A">
            <w:pPr>
              <w:jc w:val="center"/>
              <w:rPr>
                <w:rFonts w:asciiTheme="majorHAnsi" w:eastAsia="Times New Roman" w:hAnsiTheme="majorHAnsi" w:cs="Arial"/>
                <w:sz w:val="20"/>
                <w:szCs w:val="20"/>
                <w:lang w:eastAsia="pl-PL"/>
              </w:rPr>
            </w:pPr>
            <w:r w:rsidRPr="000126E4">
              <w:rPr>
                <w:rFonts w:asciiTheme="majorHAnsi" w:eastAsia="Times New Roman" w:hAnsiTheme="majorHAnsi" w:cs="Arial"/>
                <w:sz w:val="20"/>
                <w:szCs w:val="20"/>
                <w:lang w:eastAsia="pl-PL"/>
              </w:rPr>
              <w:t>(% of GDP)</w:t>
            </w:r>
          </w:p>
        </w:tc>
      </w:tr>
      <w:tr w:rsidR="00567163" w:rsidRPr="000126E4" w:rsidTr="009A2A3A">
        <w:trPr>
          <w:trHeight w:val="180"/>
        </w:trPr>
        <w:tc>
          <w:tcPr>
            <w:tcW w:w="1939" w:type="dxa"/>
            <w:vMerge/>
            <w:tcBorders>
              <w:left w:val="single" w:sz="4" w:space="0" w:color="auto"/>
              <w:bottom w:val="single" w:sz="4" w:space="0" w:color="auto"/>
              <w:right w:val="single" w:sz="4" w:space="0" w:color="auto"/>
            </w:tcBorders>
            <w:shd w:val="clear" w:color="000000" w:fill="auto"/>
            <w:noWrap/>
            <w:vAlign w:val="bottom"/>
          </w:tcPr>
          <w:p w:rsidR="00567163" w:rsidRPr="000126E4" w:rsidRDefault="00567163" w:rsidP="00567163">
            <w:pPr>
              <w:spacing w:before="120" w:line="276" w:lineRule="auto"/>
              <w:jc w:val="center"/>
              <w:rPr>
                <w:rFonts w:asciiTheme="majorHAnsi" w:eastAsia="Times New Roman" w:hAnsiTheme="majorHAnsi" w:cs="Arial"/>
                <w:b/>
                <w:sz w:val="20"/>
                <w:szCs w:val="20"/>
                <w:lang w:eastAsia="pl-PL"/>
              </w:rPr>
            </w:pPr>
          </w:p>
        </w:tc>
        <w:tc>
          <w:tcPr>
            <w:tcW w:w="1350" w:type="dxa"/>
            <w:tcBorders>
              <w:top w:val="single" w:sz="4" w:space="0" w:color="auto"/>
              <w:left w:val="single" w:sz="4" w:space="0" w:color="auto"/>
              <w:bottom w:val="single" w:sz="4" w:space="0" w:color="000000"/>
              <w:right w:val="single" w:sz="4" w:space="0" w:color="000000"/>
            </w:tcBorders>
            <w:shd w:val="clear" w:color="000000" w:fill="auto"/>
            <w:noWrap/>
            <w:vAlign w:val="bottom"/>
          </w:tcPr>
          <w:p w:rsidR="00567163" w:rsidRPr="000126E4" w:rsidRDefault="00567163" w:rsidP="00567163">
            <w:pPr>
              <w:spacing w:before="120" w:line="276" w:lineRule="auto"/>
              <w:jc w:val="center"/>
              <w:rPr>
                <w:rFonts w:asciiTheme="majorHAnsi" w:eastAsia="Times New Roman" w:hAnsiTheme="majorHAnsi" w:cs="Arial"/>
                <w:sz w:val="20"/>
                <w:szCs w:val="20"/>
                <w:lang w:eastAsia="pl-PL"/>
              </w:rPr>
            </w:pPr>
            <w:r w:rsidRPr="000126E4">
              <w:rPr>
                <w:rFonts w:asciiTheme="majorHAnsi" w:eastAsia="Times New Roman" w:hAnsiTheme="majorHAnsi" w:cs="Arial"/>
                <w:sz w:val="20"/>
                <w:szCs w:val="20"/>
                <w:lang w:eastAsia="pl-PL"/>
              </w:rPr>
              <w:t>1</w:t>
            </w:r>
          </w:p>
        </w:tc>
        <w:tc>
          <w:tcPr>
            <w:tcW w:w="1350" w:type="dxa"/>
            <w:tcBorders>
              <w:top w:val="single" w:sz="4" w:space="0" w:color="auto"/>
              <w:left w:val="nil"/>
              <w:bottom w:val="single" w:sz="4" w:space="0" w:color="000000"/>
              <w:right w:val="single" w:sz="4" w:space="0" w:color="000000"/>
            </w:tcBorders>
            <w:shd w:val="clear" w:color="000000" w:fill="auto"/>
            <w:noWrap/>
            <w:vAlign w:val="bottom"/>
          </w:tcPr>
          <w:p w:rsidR="00567163" w:rsidRPr="000126E4" w:rsidRDefault="00567163" w:rsidP="00567163">
            <w:pPr>
              <w:spacing w:before="120" w:line="276" w:lineRule="auto"/>
              <w:jc w:val="center"/>
              <w:rPr>
                <w:rFonts w:asciiTheme="majorHAnsi" w:eastAsia="Times New Roman" w:hAnsiTheme="majorHAnsi" w:cs="Arial"/>
                <w:sz w:val="20"/>
                <w:szCs w:val="20"/>
                <w:lang w:eastAsia="pl-PL"/>
              </w:rPr>
            </w:pPr>
            <w:r w:rsidRPr="000126E4">
              <w:rPr>
                <w:rFonts w:asciiTheme="majorHAnsi" w:eastAsia="Times New Roman" w:hAnsiTheme="majorHAnsi" w:cs="Arial"/>
                <w:sz w:val="20"/>
                <w:szCs w:val="20"/>
                <w:lang w:eastAsia="pl-PL"/>
              </w:rPr>
              <w:t>2</w:t>
            </w:r>
          </w:p>
        </w:tc>
        <w:tc>
          <w:tcPr>
            <w:tcW w:w="1350" w:type="dxa"/>
            <w:tcBorders>
              <w:top w:val="single" w:sz="4" w:space="0" w:color="auto"/>
              <w:left w:val="nil"/>
              <w:bottom w:val="single" w:sz="4" w:space="0" w:color="000000"/>
              <w:right w:val="single" w:sz="4" w:space="0" w:color="000000"/>
            </w:tcBorders>
            <w:shd w:val="clear" w:color="000000" w:fill="auto"/>
            <w:noWrap/>
            <w:vAlign w:val="bottom"/>
          </w:tcPr>
          <w:p w:rsidR="00567163" w:rsidRPr="000126E4" w:rsidRDefault="00567163" w:rsidP="00567163">
            <w:pPr>
              <w:spacing w:before="120" w:line="276" w:lineRule="auto"/>
              <w:jc w:val="center"/>
              <w:rPr>
                <w:rFonts w:asciiTheme="majorHAnsi" w:eastAsia="Times New Roman" w:hAnsiTheme="majorHAnsi" w:cs="Arial"/>
                <w:sz w:val="20"/>
                <w:szCs w:val="20"/>
                <w:lang w:eastAsia="pl-PL"/>
              </w:rPr>
            </w:pPr>
            <w:r w:rsidRPr="000126E4">
              <w:rPr>
                <w:rFonts w:asciiTheme="majorHAnsi" w:eastAsia="Times New Roman" w:hAnsiTheme="majorHAnsi" w:cs="Arial"/>
                <w:sz w:val="20"/>
                <w:szCs w:val="20"/>
                <w:lang w:eastAsia="pl-PL"/>
              </w:rPr>
              <w:t>3</w:t>
            </w:r>
          </w:p>
        </w:tc>
        <w:tc>
          <w:tcPr>
            <w:tcW w:w="1350" w:type="dxa"/>
            <w:tcBorders>
              <w:top w:val="nil"/>
              <w:left w:val="nil"/>
              <w:bottom w:val="single" w:sz="4" w:space="0" w:color="000000"/>
              <w:right w:val="single" w:sz="4" w:space="0" w:color="000000"/>
            </w:tcBorders>
          </w:tcPr>
          <w:p w:rsidR="00567163" w:rsidRPr="000126E4" w:rsidRDefault="00567163" w:rsidP="00567163">
            <w:pPr>
              <w:spacing w:before="120" w:line="276" w:lineRule="auto"/>
              <w:jc w:val="center"/>
              <w:rPr>
                <w:rFonts w:asciiTheme="majorHAnsi" w:eastAsia="Times New Roman" w:hAnsiTheme="majorHAnsi" w:cs="Arial"/>
                <w:sz w:val="20"/>
                <w:szCs w:val="20"/>
                <w:lang w:eastAsia="pl-PL"/>
              </w:rPr>
            </w:pPr>
            <w:r w:rsidRPr="000126E4">
              <w:rPr>
                <w:rFonts w:asciiTheme="majorHAnsi" w:eastAsia="Times New Roman" w:hAnsiTheme="majorHAnsi" w:cs="Arial"/>
                <w:sz w:val="20"/>
                <w:szCs w:val="20"/>
                <w:lang w:eastAsia="pl-PL"/>
              </w:rPr>
              <w:t>4</w:t>
            </w:r>
          </w:p>
        </w:tc>
        <w:tc>
          <w:tcPr>
            <w:tcW w:w="1323" w:type="dxa"/>
            <w:tcBorders>
              <w:top w:val="nil"/>
              <w:left w:val="single" w:sz="4" w:space="0" w:color="000000"/>
              <w:bottom w:val="single" w:sz="4" w:space="0" w:color="000000"/>
              <w:right w:val="single" w:sz="4" w:space="0" w:color="000000"/>
            </w:tcBorders>
            <w:shd w:val="clear" w:color="auto" w:fill="auto"/>
            <w:noWrap/>
            <w:vAlign w:val="bottom"/>
          </w:tcPr>
          <w:p w:rsidR="00567163" w:rsidRPr="000126E4" w:rsidRDefault="00567163" w:rsidP="00567163">
            <w:pPr>
              <w:spacing w:before="120" w:line="276" w:lineRule="auto"/>
              <w:jc w:val="center"/>
              <w:rPr>
                <w:rFonts w:asciiTheme="majorHAnsi" w:eastAsia="Times New Roman" w:hAnsiTheme="majorHAnsi" w:cs="Arial"/>
                <w:sz w:val="20"/>
                <w:szCs w:val="20"/>
                <w:lang w:eastAsia="pl-PL"/>
              </w:rPr>
            </w:pPr>
            <w:r w:rsidRPr="000126E4">
              <w:rPr>
                <w:rFonts w:asciiTheme="majorHAnsi" w:eastAsia="Times New Roman" w:hAnsiTheme="majorHAnsi" w:cs="Arial"/>
                <w:sz w:val="20"/>
                <w:szCs w:val="20"/>
                <w:lang w:eastAsia="pl-PL"/>
              </w:rPr>
              <w:t>5</w:t>
            </w:r>
          </w:p>
        </w:tc>
        <w:tc>
          <w:tcPr>
            <w:tcW w:w="1377" w:type="dxa"/>
            <w:tcBorders>
              <w:top w:val="nil"/>
              <w:left w:val="nil"/>
              <w:bottom w:val="single" w:sz="4" w:space="0" w:color="000000"/>
              <w:right w:val="single" w:sz="4" w:space="0" w:color="000000"/>
            </w:tcBorders>
            <w:shd w:val="clear" w:color="auto" w:fill="auto"/>
            <w:noWrap/>
            <w:vAlign w:val="bottom"/>
          </w:tcPr>
          <w:p w:rsidR="00567163" w:rsidRPr="000126E4" w:rsidRDefault="00567163" w:rsidP="00567163">
            <w:pPr>
              <w:spacing w:before="120" w:line="276" w:lineRule="auto"/>
              <w:jc w:val="center"/>
              <w:rPr>
                <w:rFonts w:asciiTheme="majorHAnsi" w:eastAsia="Times New Roman" w:hAnsiTheme="majorHAnsi" w:cs="Arial"/>
                <w:sz w:val="20"/>
                <w:szCs w:val="20"/>
                <w:lang w:eastAsia="pl-PL"/>
              </w:rPr>
            </w:pPr>
            <w:r w:rsidRPr="000126E4">
              <w:rPr>
                <w:rFonts w:asciiTheme="majorHAnsi" w:eastAsia="Times New Roman" w:hAnsiTheme="majorHAnsi" w:cs="Arial"/>
                <w:sz w:val="20"/>
                <w:szCs w:val="20"/>
                <w:lang w:eastAsia="pl-PL"/>
              </w:rPr>
              <w:t>6</w:t>
            </w:r>
          </w:p>
        </w:tc>
        <w:tc>
          <w:tcPr>
            <w:tcW w:w="1350" w:type="dxa"/>
            <w:tcBorders>
              <w:top w:val="nil"/>
              <w:left w:val="nil"/>
              <w:bottom w:val="single" w:sz="4" w:space="0" w:color="000000"/>
              <w:right w:val="single" w:sz="4" w:space="0" w:color="000000"/>
            </w:tcBorders>
            <w:shd w:val="clear" w:color="auto" w:fill="auto"/>
            <w:noWrap/>
            <w:vAlign w:val="bottom"/>
          </w:tcPr>
          <w:p w:rsidR="00567163" w:rsidRPr="000126E4" w:rsidRDefault="00567163" w:rsidP="00567163">
            <w:pPr>
              <w:spacing w:before="120" w:line="276" w:lineRule="auto"/>
              <w:jc w:val="center"/>
              <w:rPr>
                <w:rFonts w:asciiTheme="majorHAnsi" w:eastAsia="Times New Roman" w:hAnsiTheme="majorHAnsi" w:cs="Arial"/>
                <w:sz w:val="20"/>
                <w:szCs w:val="20"/>
                <w:lang w:eastAsia="pl-PL"/>
              </w:rPr>
            </w:pPr>
            <w:r w:rsidRPr="000126E4">
              <w:rPr>
                <w:rFonts w:asciiTheme="majorHAnsi" w:eastAsia="Times New Roman" w:hAnsiTheme="majorHAnsi" w:cs="Arial"/>
                <w:sz w:val="20"/>
                <w:szCs w:val="20"/>
                <w:lang w:eastAsia="pl-PL"/>
              </w:rPr>
              <w:t>7</w:t>
            </w:r>
          </w:p>
        </w:tc>
        <w:tc>
          <w:tcPr>
            <w:tcW w:w="1350" w:type="dxa"/>
            <w:tcBorders>
              <w:top w:val="nil"/>
              <w:left w:val="nil"/>
              <w:bottom w:val="single" w:sz="4" w:space="0" w:color="000000"/>
              <w:right w:val="single" w:sz="4" w:space="0" w:color="000000"/>
            </w:tcBorders>
            <w:shd w:val="clear" w:color="auto" w:fill="auto"/>
            <w:noWrap/>
            <w:vAlign w:val="bottom"/>
          </w:tcPr>
          <w:p w:rsidR="00567163" w:rsidRPr="000126E4" w:rsidRDefault="00567163" w:rsidP="00567163">
            <w:pPr>
              <w:spacing w:before="120" w:line="276" w:lineRule="auto"/>
              <w:jc w:val="center"/>
              <w:rPr>
                <w:rFonts w:asciiTheme="majorHAnsi" w:eastAsia="Times New Roman" w:hAnsiTheme="majorHAnsi" w:cs="Arial"/>
                <w:sz w:val="20"/>
                <w:szCs w:val="20"/>
                <w:lang w:eastAsia="pl-PL"/>
              </w:rPr>
            </w:pPr>
            <w:r w:rsidRPr="000126E4">
              <w:rPr>
                <w:rFonts w:asciiTheme="majorHAnsi" w:eastAsia="Times New Roman" w:hAnsiTheme="majorHAnsi" w:cs="Arial"/>
                <w:sz w:val="20"/>
                <w:szCs w:val="20"/>
                <w:lang w:eastAsia="pl-PL"/>
              </w:rPr>
              <w:t>8</w:t>
            </w:r>
          </w:p>
        </w:tc>
        <w:tc>
          <w:tcPr>
            <w:tcW w:w="1350" w:type="dxa"/>
            <w:tcBorders>
              <w:top w:val="nil"/>
              <w:left w:val="nil"/>
              <w:bottom w:val="single" w:sz="4" w:space="0" w:color="000000"/>
              <w:right w:val="single" w:sz="4" w:space="0" w:color="000000"/>
            </w:tcBorders>
            <w:shd w:val="clear" w:color="auto" w:fill="auto"/>
            <w:noWrap/>
            <w:vAlign w:val="bottom"/>
          </w:tcPr>
          <w:p w:rsidR="00567163" w:rsidRPr="000126E4" w:rsidRDefault="00567163" w:rsidP="00567163">
            <w:pPr>
              <w:spacing w:before="120" w:line="276" w:lineRule="auto"/>
              <w:jc w:val="center"/>
              <w:rPr>
                <w:rFonts w:asciiTheme="majorHAnsi" w:eastAsia="Times New Roman" w:hAnsiTheme="majorHAnsi" w:cs="Arial"/>
                <w:sz w:val="20"/>
                <w:szCs w:val="20"/>
                <w:lang w:eastAsia="pl-PL"/>
              </w:rPr>
            </w:pPr>
            <w:r w:rsidRPr="000126E4">
              <w:rPr>
                <w:rFonts w:asciiTheme="majorHAnsi" w:eastAsia="Times New Roman" w:hAnsiTheme="majorHAnsi" w:cs="Arial"/>
                <w:sz w:val="20"/>
                <w:szCs w:val="20"/>
                <w:lang w:eastAsia="pl-PL"/>
              </w:rPr>
              <w:t>9</w:t>
            </w:r>
          </w:p>
        </w:tc>
      </w:tr>
      <w:tr w:rsidR="003E2818" w:rsidRPr="000126E4" w:rsidTr="009A2A3A">
        <w:trPr>
          <w:trHeight w:val="285"/>
        </w:trPr>
        <w:tc>
          <w:tcPr>
            <w:tcW w:w="1939"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3E2818" w:rsidRPr="000126E4" w:rsidRDefault="003E2818" w:rsidP="003E2818">
            <w:pPr>
              <w:spacing w:before="120" w:line="276" w:lineRule="auto"/>
              <w:jc w:val="right"/>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Formula</w:t>
            </w:r>
          </w:p>
        </w:tc>
        <w:tc>
          <w:tcPr>
            <w:tcW w:w="1350" w:type="dxa"/>
            <w:tcBorders>
              <w:top w:val="nil"/>
              <w:left w:val="nil"/>
              <w:bottom w:val="single" w:sz="4" w:space="0" w:color="000000"/>
              <w:right w:val="single" w:sz="4" w:space="0" w:color="000000"/>
            </w:tcBorders>
            <w:shd w:val="clear" w:color="auto" w:fill="auto"/>
            <w:noWrap/>
            <w:vAlign w:val="bottom"/>
          </w:tcPr>
          <w:p w:rsidR="003E2818" w:rsidRPr="000126E4" w:rsidRDefault="003E2818" w:rsidP="00150C8A">
            <w:pPr>
              <w:spacing w:before="120" w:line="276" w:lineRule="auto"/>
              <w:jc w:val="right"/>
              <w:rPr>
                <w:rFonts w:asciiTheme="majorHAnsi" w:eastAsia="Times New Roman" w:hAnsiTheme="majorHAnsi" w:cs="Arial"/>
                <w:sz w:val="20"/>
                <w:szCs w:val="20"/>
                <w:lang w:eastAsia="pl-PL"/>
              </w:rPr>
            </w:pPr>
          </w:p>
        </w:tc>
        <w:tc>
          <w:tcPr>
            <w:tcW w:w="1350" w:type="dxa"/>
            <w:tcBorders>
              <w:top w:val="nil"/>
              <w:left w:val="nil"/>
              <w:bottom w:val="single" w:sz="4" w:space="0" w:color="000000"/>
              <w:right w:val="single" w:sz="4" w:space="0" w:color="000000"/>
            </w:tcBorders>
            <w:shd w:val="clear" w:color="auto" w:fill="auto"/>
            <w:noWrap/>
            <w:vAlign w:val="bottom"/>
          </w:tcPr>
          <w:p w:rsidR="003E2818" w:rsidRPr="000126E4" w:rsidRDefault="003E2818" w:rsidP="00150C8A">
            <w:pPr>
              <w:spacing w:before="120" w:line="276" w:lineRule="auto"/>
              <w:jc w:val="right"/>
              <w:rPr>
                <w:rFonts w:asciiTheme="majorHAnsi" w:hAnsiTheme="majorHAnsi" w:cs="Arial"/>
                <w:sz w:val="20"/>
                <w:szCs w:val="20"/>
              </w:rPr>
            </w:pPr>
          </w:p>
        </w:tc>
        <w:tc>
          <w:tcPr>
            <w:tcW w:w="1350" w:type="dxa"/>
            <w:tcBorders>
              <w:top w:val="nil"/>
              <w:left w:val="nil"/>
              <w:bottom w:val="single" w:sz="4" w:space="0" w:color="000000"/>
              <w:right w:val="single" w:sz="4" w:space="0" w:color="000000"/>
            </w:tcBorders>
            <w:shd w:val="clear" w:color="auto" w:fill="auto"/>
            <w:noWrap/>
            <w:vAlign w:val="bottom"/>
          </w:tcPr>
          <w:p w:rsidR="003E2818" w:rsidRPr="000126E4" w:rsidRDefault="003E2818" w:rsidP="00150C8A">
            <w:pPr>
              <w:spacing w:before="120" w:line="276" w:lineRule="auto"/>
              <w:jc w:val="right"/>
              <w:rPr>
                <w:rFonts w:asciiTheme="majorHAnsi" w:hAnsiTheme="majorHAnsi" w:cs="Arial"/>
                <w:sz w:val="20"/>
                <w:szCs w:val="20"/>
              </w:rPr>
            </w:pPr>
          </w:p>
        </w:tc>
        <w:tc>
          <w:tcPr>
            <w:tcW w:w="1350" w:type="dxa"/>
            <w:tcBorders>
              <w:top w:val="single" w:sz="4" w:space="0" w:color="000000"/>
              <w:left w:val="nil"/>
              <w:bottom w:val="single" w:sz="4" w:space="0" w:color="000000"/>
              <w:right w:val="single" w:sz="4" w:space="0" w:color="000000"/>
            </w:tcBorders>
            <w:shd w:val="clear" w:color="auto" w:fill="auto"/>
            <w:vAlign w:val="bottom"/>
          </w:tcPr>
          <w:p w:rsidR="003E2818" w:rsidRPr="000126E4" w:rsidRDefault="003E2818" w:rsidP="00150C8A">
            <w:pPr>
              <w:spacing w:before="120" w:line="276" w:lineRule="auto"/>
              <w:jc w:val="right"/>
              <w:rPr>
                <w:rFonts w:asciiTheme="majorHAnsi" w:eastAsia="Times New Roman" w:hAnsiTheme="majorHAnsi" w:cs="Arial"/>
                <w:sz w:val="20"/>
                <w:szCs w:val="20"/>
                <w:lang w:eastAsia="pl-PL"/>
              </w:rPr>
            </w:pPr>
          </w:p>
        </w:tc>
        <w:tc>
          <w:tcPr>
            <w:tcW w:w="1323" w:type="dxa"/>
            <w:tcBorders>
              <w:top w:val="nil"/>
              <w:left w:val="single" w:sz="4" w:space="0" w:color="000000"/>
              <w:bottom w:val="single" w:sz="4" w:space="0" w:color="000000"/>
              <w:right w:val="single" w:sz="4" w:space="0" w:color="000000"/>
            </w:tcBorders>
            <w:shd w:val="clear" w:color="auto" w:fill="auto"/>
            <w:noWrap/>
            <w:vAlign w:val="bottom"/>
          </w:tcPr>
          <w:p w:rsidR="003E2818" w:rsidRPr="000126E4" w:rsidRDefault="003E2818" w:rsidP="00150C8A">
            <w:pPr>
              <w:spacing w:before="120" w:line="276" w:lineRule="auto"/>
              <w:jc w:val="right"/>
              <w:rPr>
                <w:rFonts w:asciiTheme="majorHAnsi" w:hAnsiTheme="majorHAnsi" w:cs="Arial"/>
                <w:sz w:val="20"/>
                <w:szCs w:val="20"/>
              </w:rPr>
            </w:pPr>
          </w:p>
        </w:tc>
        <w:tc>
          <w:tcPr>
            <w:tcW w:w="1377" w:type="dxa"/>
            <w:tcBorders>
              <w:top w:val="nil"/>
              <w:left w:val="nil"/>
              <w:bottom w:val="single" w:sz="4" w:space="0" w:color="000000"/>
              <w:right w:val="single" w:sz="4" w:space="0" w:color="000000"/>
            </w:tcBorders>
            <w:shd w:val="clear" w:color="auto" w:fill="auto"/>
            <w:noWrap/>
            <w:vAlign w:val="bottom"/>
          </w:tcPr>
          <w:p w:rsidR="003E2818" w:rsidRPr="000126E4" w:rsidRDefault="003E2818" w:rsidP="00150C8A">
            <w:pPr>
              <w:spacing w:before="120" w:line="276" w:lineRule="auto"/>
              <w:rPr>
                <w:rFonts w:asciiTheme="majorHAnsi" w:eastAsia="Times New Roman" w:hAnsiTheme="majorHAnsi" w:cs="Arial"/>
                <w:sz w:val="20"/>
                <w:szCs w:val="20"/>
                <w:lang w:eastAsia="pl-PL"/>
              </w:rPr>
            </w:pPr>
          </w:p>
        </w:tc>
        <w:tc>
          <w:tcPr>
            <w:tcW w:w="1350" w:type="dxa"/>
            <w:tcBorders>
              <w:top w:val="nil"/>
              <w:left w:val="nil"/>
              <w:bottom w:val="single" w:sz="4" w:space="0" w:color="000000"/>
              <w:right w:val="single" w:sz="4" w:space="0" w:color="000000"/>
            </w:tcBorders>
            <w:shd w:val="clear" w:color="auto" w:fill="auto"/>
            <w:noWrap/>
            <w:vAlign w:val="bottom"/>
          </w:tcPr>
          <w:p w:rsidR="003E2818" w:rsidRPr="000126E4" w:rsidRDefault="003E2818" w:rsidP="003E2818">
            <w:pPr>
              <w:spacing w:before="120" w:line="276" w:lineRule="auto"/>
              <w:jc w:val="center"/>
              <w:rPr>
                <w:rFonts w:asciiTheme="majorHAnsi" w:eastAsia="Times New Roman" w:hAnsiTheme="majorHAnsi" w:cs="Arial"/>
                <w:sz w:val="20"/>
                <w:szCs w:val="20"/>
                <w:lang w:eastAsia="pl-PL"/>
              </w:rPr>
            </w:pPr>
            <w:r w:rsidRPr="000126E4">
              <w:rPr>
                <w:rFonts w:asciiTheme="majorHAnsi" w:eastAsia="Times New Roman" w:hAnsiTheme="majorHAnsi" w:cs="Arial"/>
                <w:sz w:val="20"/>
                <w:szCs w:val="20"/>
                <w:lang w:eastAsia="pl-PL"/>
              </w:rPr>
              <w:t>3 * 6 / 5</w:t>
            </w:r>
          </w:p>
        </w:tc>
        <w:tc>
          <w:tcPr>
            <w:tcW w:w="1350" w:type="dxa"/>
            <w:tcBorders>
              <w:top w:val="nil"/>
              <w:left w:val="nil"/>
              <w:bottom w:val="single" w:sz="4" w:space="0" w:color="000000"/>
              <w:right w:val="single" w:sz="4" w:space="0" w:color="000000"/>
            </w:tcBorders>
            <w:shd w:val="clear" w:color="auto" w:fill="auto"/>
            <w:noWrap/>
            <w:vAlign w:val="bottom"/>
          </w:tcPr>
          <w:p w:rsidR="003E2818" w:rsidRPr="000126E4" w:rsidRDefault="003E2818" w:rsidP="00150C8A">
            <w:pPr>
              <w:spacing w:before="120" w:line="276" w:lineRule="auto"/>
              <w:jc w:val="right"/>
              <w:rPr>
                <w:rFonts w:asciiTheme="majorHAnsi" w:hAnsiTheme="majorHAnsi" w:cs="Arial"/>
                <w:sz w:val="20"/>
                <w:szCs w:val="20"/>
              </w:rPr>
            </w:pPr>
          </w:p>
        </w:tc>
        <w:tc>
          <w:tcPr>
            <w:tcW w:w="1350" w:type="dxa"/>
            <w:tcBorders>
              <w:top w:val="nil"/>
              <w:left w:val="nil"/>
              <w:bottom w:val="single" w:sz="4" w:space="0" w:color="000000"/>
              <w:right w:val="single" w:sz="4" w:space="0" w:color="000000"/>
            </w:tcBorders>
            <w:shd w:val="clear" w:color="auto" w:fill="auto"/>
            <w:noWrap/>
            <w:vAlign w:val="bottom"/>
          </w:tcPr>
          <w:p w:rsidR="003E2818" w:rsidRPr="000126E4" w:rsidRDefault="003E2818" w:rsidP="003E2818">
            <w:pPr>
              <w:spacing w:before="120" w:line="276" w:lineRule="auto"/>
              <w:jc w:val="center"/>
              <w:rPr>
                <w:rFonts w:asciiTheme="majorHAnsi" w:eastAsia="Times New Roman" w:hAnsiTheme="majorHAnsi" w:cs="Arial"/>
                <w:sz w:val="20"/>
                <w:szCs w:val="20"/>
                <w:lang w:eastAsia="pl-PL"/>
              </w:rPr>
            </w:pPr>
            <w:r w:rsidRPr="000126E4">
              <w:rPr>
                <w:rFonts w:asciiTheme="majorHAnsi" w:eastAsia="Times New Roman" w:hAnsiTheme="majorHAnsi" w:cs="Arial"/>
                <w:sz w:val="20"/>
                <w:szCs w:val="20"/>
                <w:lang w:eastAsia="pl-PL"/>
              </w:rPr>
              <w:t>3 / 5</w:t>
            </w:r>
          </w:p>
        </w:tc>
      </w:tr>
      <w:tr w:rsidR="00AD3C06" w:rsidRPr="000126E4" w:rsidTr="009A2A3A">
        <w:trPr>
          <w:trHeight w:val="285"/>
        </w:trPr>
        <w:tc>
          <w:tcPr>
            <w:tcW w:w="1939" w:type="dxa"/>
            <w:tcBorders>
              <w:top w:val="single" w:sz="4" w:space="0" w:color="auto"/>
              <w:left w:val="single" w:sz="4" w:space="0" w:color="000000"/>
              <w:bottom w:val="single" w:sz="4" w:space="0" w:color="000000"/>
              <w:right w:val="single" w:sz="4" w:space="0" w:color="000000"/>
            </w:tcBorders>
            <w:shd w:val="clear" w:color="auto" w:fill="C6D9F1" w:themeFill="text2" w:themeFillTint="33"/>
            <w:noWrap/>
            <w:vAlign w:val="bottom"/>
            <w:hideMark/>
          </w:tcPr>
          <w:p w:rsidR="00AD3C06" w:rsidRPr="000126E4" w:rsidRDefault="00AD3C06"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European Union (28 countries)</w:t>
            </w:r>
          </w:p>
        </w:tc>
        <w:tc>
          <w:tcPr>
            <w:tcW w:w="1350" w:type="dxa"/>
            <w:tcBorders>
              <w:top w:val="nil"/>
              <w:left w:val="nil"/>
              <w:bottom w:val="single" w:sz="4" w:space="0" w:color="000000"/>
              <w:right w:val="single" w:sz="4" w:space="0" w:color="000000"/>
            </w:tcBorders>
            <w:shd w:val="clear" w:color="auto" w:fill="C6D9F1" w:themeFill="text2" w:themeFillTint="33"/>
            <w:noWrap/>
            <w:vAlign w:val="bottom"/>
            <w:hideMark/>
          </w:tcPr>
          <w:p w:rsidR="00AD3C06" w:rsidRPr="00AD3C06" w:rsidRDefault="00AD3C06"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100</w:t>
            </w:r>
          </w:p>
        </w:tc>
        <w:tc>
          <w:tcPr>
            <w:tcW w:w="1350" w:type="dxa"/>
            <w:tcBorders>
              <w:top w:val="nil"/>
              <w:left w:val="nil"/>
              <w:bottom w:val="single" w:sz="4" w:space="0" w:color="000000"/>
              <w:right w:val="single" w:sz="4" w:space="0" w:color="000000"/>
            </w:tcBorders>
            <w:shd w:val="clear" w:color="auto" w:fill="C6D9F1" w:themeFill="text2" w:themeFillTint="33"/>
            <w:noWrap/>
            <w:vAlign w:val="bottom"/>
            <w:hideMark/>
          </w:tcPr>
          <w:p w:rsidR="00AD3C06" w:rsidRPr="00AD3C06" w:rsidRDefault="00AD3C06"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700</w:t>
            </w:r>
          </w:p>
        </w:tc>
        <w:tc>
          <w:tcPr>
            <w:tcW w:w="1350" w:type="dxa"/>
            <w:tcBorders>
              <w:top w:val="nil"/>
              <w:left w:val="nil"/>
              <w:bottom w:val="single" w:sz="4" w:space="0" w:color="000000"/>
              <w:right w:val="single" w:sz="4" w:space="0" w:color="000000"/>
            </w:tcBorders>
            <w:shd w:val="clear" w:color="auto" w:fill="C6D9F1" w:themeFill="text2" w:themeFillTint="33"/>
            <w:noWrap/>
            <w:vAlign w:val="bottom"/>
            <w:hideMark/>
          </w:tcPr>
          <w:p w:rsidR="00AD3C06" w:rsidRPr="00AD3C06" w:rsidRDefault="00AD3C06"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105</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AD3C06" w:rsidRPr="00AD3C06" w:rsidRDefault="00AD3C06"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920</w:t>
            </w:r>
          </w:p>
        </w:tc>
        <w:tc>
          <w:tcPr>
            <w:tcW w:w="1323" w:type="dxa"/>
            <w:tcBorders>
              <w:top w:val="nil"/>
              <w:left w:val="single" w:sz="4" w:space="0" w:color="000000"/>
              <w:bottom w:val="single" w:sz="4" w:space="0" w:color="000000"/>
              <w:right w:val="single" w:sz="4" w:space="0" w:color="000000"/>
            </w:tcBorders>
            <w:shd w:val="clear" w:color="auto" w:fill="auto"/>
            <w:noWrap/>
            <w:vAlign w:val="bottom"/>
            <w:hideMark/>
          </w:tcPr>
          <w:p w:rsidR="00AD3C06" w:rsidRPr="00AD3C06" w:rsidRDefault="00AD3C06"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13 068,6</w:t>
            </w:r>
          </w:p>
        </w:tc>
        <w:tc>
          <w:tcPr>
            <w:tcW w:w="1377" w:type="dxa"/>
            <w:tcBorders>
              <w:top w:val="nil"/>
              <w:left w:val="nil"/>
              <w:bottom w:val="single" w:sz="4" w:space="0" w:color="000000"/>
              <w:right w:val="single" w:sz="4" w:space="0" w:color="000000"/>
            </w:tcBorders>
            <w:shd w:val="clear" w:color="auto" w:fill="auto"/>
            <w:noWrap/>
            <w:vAlign w:val="bottom"/>
            <w:hideMark/>
          </w:tcPr>
          <w:p w:rsidR="00AD3C06" w:rsidRPr="00AD3C06" w:rsidRDefault="00AD3C06" w:rsidP="00150C8A">
            <w:pPr>
              <w:spacing w:before="120" w:line="276" w:lineRule="auto"/>
              <w:rPr>
                <w:rFonts w:asciiTheme="majorHAnsi" w:eastAsia="Times New Roman" w:hAnsiTheme="majorHAnsi" w:cs="Arial"/>
                <w:sz w:val="20"/>
                <w:szCs w:val="20"/>
                <w:lang w:eastAsia="pl-PL"/>
              </w:rPr>
            </w:pPr>
            <w:r w:rsidRPr="00AD3C06">
              <w:rPr>
                <w:rFonts w:asciiTheme="majorHAnsi" w:hAnsiTheme="majorHAnsi" w:cs="Arial"/>
                <w:sz w:val="20"/>
                <w:szCs w:val="20"/>
              </w:rPr>
              <w:t> </w:t>
            </w:r>
          </w:p>
        </w:tc>
        <w:tc>
          <w:tcPr>
            <w:tcW w:w="1350" w:type="dxa"/>
            <w:tcBorders>
              <w:top w:val="nil"/>
              <w:left w:val="nil"/>
              <w:bottom w:val="single" w:sz="4" w:space="0" w:color="000000"/>
              <w:right w:val="single" w:sz="4" w:space="0" w:color="000000"/>
            </w:tcBorders>
            <w:shd w:val="clear" w:color="auto" w:fill="auto"/>
            <w:noWrap/>
            <w:vAlign w:val="bottom"/>
            <w:hideMark/>
          </w:tcPr>
          <w:p w:rsidR="00AD3C06" w:rsidRPr="00AD3C06" w:rsidRDefault="00AD3C06" w:rsidP="00150C8A">
            <w:pPr>
              <w:spacing w:before="120" w:line="276" w:lineRule="auto"/>
              <w:rPr>
                <w:rFonts w:asciiTheme="majorHAnsi" w:eastAsia="Times New Roman" w:hAnsiTheme="majorHAnsi" w:cs="Arial"/>
                <w:sz w:val="20"/>
                <w:szCs w:val="20"/>
                <w:lang w:eastAsia="pl-PL"/>
              </w:rPr>
            </w:pPr>
            <w:r w:rsidRPr="00AD3C06">
              <w:rPr>
                <w:rFonts w:asciiTheme="majorHAnsi" w:hAnsiTheme="majorHAnsi" w:cs="Arial"/>
                <w:sz w:val="20"/>
                <w:szCs w:val="20"/>
              </w:rPr>
              <w:t> </w:t>
            </w:r>
          </w:p>
        </w:tc>
        <w:tc>
          <w:tcPr>
            <w:tcW w:w="1350" w:type="dxa"/>
            <w:tcBorders>
              <w:top w:val="nil"/>
              <w:left w:val="nil"/>
              <w:bottom w:val="single" w:sz="4" w:space="0" w:color="000000"/>
              <w:right w:val="single" w:sz="4" w:space="0" w:color="000000"/>
            </w:tcBorders>
            <w:shd w:val="clear" w:color="auto" w:fill="auto"/>
            <w:noWrap/>
            <w:vAlign w:val="bottom"/>
            <w:hideMark/>
          </w:tcPr>
          <w:p w:rsidR="00AD3C06" w:rsidRPr="00AD3C06" w:rsidRDefault="00AD3C06"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11 386,0</w:t>
            </w:r>
          </w:p>
        </w:tc>
        <w:tc>
          <w:tcPr>
            <w:tcW w:w="1350" w:type="dxa"/>
            <w:tcBorders>
              <w:top w:val="nil"/>
              <w:left w:val="nil"/>
              <w:bottom w:val="single" w:sz="4" w:space="0" w:color="000000"/>
              <w:right w:val="single" w:sz="4" w:space="0" w:color="000000"/>
            </w:tcBorders>
            <w:shd w:val="clear" w:color="auto" w:fill="auto"/>
            <w:noWrap/>
            <w:vAlign w:val="bottom"/>
            <w:hideMark/>
          </w:tcPr>
          <w:p w:rsidR="00AD3C06" w:rsidRPr="00AD3C06" w:rsidRDefault="00AD3C06" w:rsidP="00150C8A">
            <w:pPr>
              <w:spacing w:before="120" w:line="276" w:lineRule="auto"/>
              <w:rPr>
                <w:rFonts w:asciiTheme="majorHAnsi" w:eastAsia="Times New Roman" w:hAnsiTheme="majorHAnsi" w:cs="Arial"/>
                <w:sz w:val="20"/>
                <w:szCs w:val="20"/>
                <w:lang w:eastAsia="pl-PL"/>
              </w:rPr>
            </w:pPr>
            <w:r w:rsidRPr="00AD3C06">
              <w:rPr>
                <w:rFonts w:asciiTheme="majorHAnsi" w:hAnsiTheme="majorHAnsi" w:cs="Arial"/>
                <w:sz w:val="20"/>
                <w:szCs w:val="20"/>
              </w:rPr>
              <w:t> </w:t>
            </w:r>
          </w:p>
        </w:tc>
      </w:tr>
      <w:tr w:rsidR="005369CE" w:rsidRPr="000126E4" w:rsidTr="009A2A3A">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tcPr>
          <w:p w:rsidR="005369CE" w:rsidRPr="000126E4" w:rsidRDefault="005369CE"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Austria</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2,1025</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14,72</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2,21</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19,34</w:t>
            </w:r>
          </w:p>
        </w:tc>
        <w:tc>
          <w:tcPr>
            <w:tcW w:w="1323" w:type="dxa"/>
            <w:tcBorders>
              <w:top w:val="nil"/>
              <w:left w:val="single" w:sz="4" w:space="0" w:color="000000"/>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313,1</w:t>
            </w:r>
          </w:p>
        </w:tc>
        <w:tc>
          <w:tcPr>
            <w:tcW w:w="1377"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1,03</w:t>
            </w:r>
          </w:p>
        </w:tc>
        <w:tc>
          <w:tcPr>
            <w:tcW w:w="1350"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0,01</w:t>
            </w:r>
          </w:p>
        </w:tc>
        <w:tc>
          <w:tcPr>
            <w:tcW w:w="1350"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233,3</w:t>
            </w:r>
          </w:p>
        </w:tc>
        <w:tc>
          <w:tcPr>
            <w:tcW w:w="1350"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0,71</w:t>
            </w:r>
          </w:p>
        </w:tc>
      </w:tr>
      <w:tr w:rsidR="005369CE" w:rsidRPr="000126E4" w:rsidTr="009A2A3A">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hideMark/>
          </w:tcPr>
          <w:p w:rsidR="005369CE" w:rsidRPr="000126E4" w:rsidRDefault="005369CE"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Belgium</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2,6537</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18,58</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2,79</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24,41</w:t>
            </w:r>
          </w:p>
        </w:tc>
        <w:tc>
          <w:tcPr>
            <w:tcW w:w="1323" w:type="dxa"/>
            <w:tcBorders>
              <w:top w:val="nil"/>
              <w:left w:val="single" w:sz="4" w:space="0" w:color="000000"/>
              <w:bottom w:val="single" w:sz="4" w:space="0" w:color="000000"/>
              <w:right w:val="single" w:sz="4" w:space="0" w:color="000000"/>
            </w:tcBorders>
            <w:shd w:val="clear" w:color="auto" w:fill="auto"/>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382,7</w:t>
            </w:r>
          </w:p>
        </w:tc>
        <w:tc>
          <w:tcPr>
            <w:tcW w:w="1377" w:type="dxa"/>
            <w:tcBorders>
              <w:top w:val="nil"/>
              <w:left w:val="nil"/>
              <w:bottom w:val="single" w:sz="4" w:space="0" w:color="000000"/>
              <w:right w:val="single" w:sz="4" w:space="0" w:color="000000"/>
            </w:tcBorders>
            <w:shd w:val="clear" w:color="auto" w:fill="auto"/>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1,14</w:t>
            </w:r>
          </w:p>
        </w:tc>
        <w:tc>
          <w:tcPr>
            <w:tcW w:w="1350" w:type="dxa"/>
            <w:tcBorders>
              <w:top w:val="nil"/>
              <w:left w:val="nil"/>
              <w:bottom w:val="single" w:sz="4" w:space="0" w:color="000000"/>
              <w:right w:val="single" w:sz="4" w:space="0" w:color="000000"/>
            </w:tcBorders>
            <w:shd w:val="clear" w:color="auto" w:fill="auto"/>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0,01</w:t>
            </w:r>
          </w:p>
        </w:tc>
        <w:tc>
          <w:tcPr>
            <w:tcW w:w="1350" w:type="dxa"/>
            <w:tcBorders>
              <w:top w:val="nil"/>
              <w:left w:val="nil"/>
              <w:bottom w:val="single" w:sz="4" w:space="0" w:color="000000"/>
              <w:right w:val="single" w:sz="4" w:space="0" w:color="000000"/>
            </w:tcBorders>
            <w:shd w:val="clear" w:color="auto" w:fill="auto"/>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387,2</w:t>
            </w:r>
          </w:p>
        </w:tc>
        <w:tc>
          <w:tcPr>
            <w:tcW w:w="1350" w:type="dxa"/>
            <w:tcBorders>
              <w:top w:val="nil"/>
              <w:left w:val="nil"/>
              <w:bottom w:val="single" w:sz="4" w:space="0" w:color="000000"/>
              <w:right w:val="single" w:sz="4" w:space="0" w:color="000000"/>
            </w:tcBorders>
            <w:shd w:val="clear" w:color="auto" w:fill="auto"/>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0,73</w:t>
            </w:r>
          </w:p>
        </w:tc>
      </w:tr>
      <w:tr w:rsidR="005369CE" w:rsidRPr="000126E4" w:rsidTr="009A2A3A">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hideMark/>
          </w:tcPr>
          <w:p w:rsidR="005369CE" w:rsidRPr="000126E4" w:rsidRDefault="005369CE"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Bulgaria</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0,4368</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3,06</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0,46</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4,02</w:t>
            </w:r>
          </w:p>
        </w:tc>
        <w:tc>
          <w:tcPr>
            <w:tcW w:w="1323" w:type="dxa"/>
            <w:tcBorders>
              <w:top w:val="nil"/>
              <w:left w:val="single" w:sz="4" w:space="0" w:color="000000"/>
              <w:bottom w:val="single" w:sz="4" w:space="0" w:color="000000"/>
              <w:right w:val="single" w:sz="4" w:space="0" w:color="000000"/>
            </w:tcBorders>
            <w:shd w:val="clear" w:color="auto" w:fill="auto"/>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39,9</w:t>
            </w:r>
          </w:p>
        </w:tc>
        <w:tc>
          <w:tcPr>
            <w:tcW w:w="1377" w:type="dxa"/>
            <w:tcBorders>
              <w:top w:val="nil"/>
              <w:left w:val="nil"/>
              <w:bottom w:val="single" w:sz="4" w:space="0" w:color="000000"/>
              <w:right w:val="single" w:sz="4" w:space="0" w:color="000000"/>
            </w:tcBorders>
            <w:shd w:val="clear" w:color="auto" w:fill="auto"/>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2,93</w:t>
            </w:r>
          </w:p>
        </w:tc>
        <w:tc>
          <w:tcPr>
            <w:tcW w:w="1350" w:type="dxa"/>
            <w:tcBorders>
              <w:top w:val="nil"/>
              <w:left w:val="nil"/>
              <w:bottom w:val="single" w:sz="4" w:space="0" w:color="000000"/>
              <w:right w:val="single" w:sz="4" w:space="0" w:color="000000"/>
            </w:tcBorders>
            <w:shd w:val="clear" w:color="auto" w:fill="auto"/>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0,03</w:t>
            </w:r>
          </w:p>
        </w:tc>
        <w:tc>
          <w:tcPr>
            <w:tcW w:w="1350" w:type="dxa"/>
            <w:tcBorders>
              <w:top w:val="nil"/>
              <w:left w:val="nil"/>
              <w:bottom w:val="single" w:sz="4" w:space="0" w:color="000000"/>
              <w:right w:val="single" w:sz="4" w:space="0" w:color="000000"/>
            </w:tcBorders>
            <w:shd w:val="clear" w:color="auto" w:fill="auto"/>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7 532,9</w:t>
            </w:r>
          </w:p>
        </w:tc>
        <w:tc>
          <w:tcPr>
            <w:tcW w:w="1350" w:type="dxa"/>
            <w:tcBorders>
              <w:top w:val="nil"/>
              <w:left w:val="nil"/>
              <w:bottom w:val="single" w:sz="4" w:space="0" w:color="000000"/>
              <w:right w:val="single" w:sz="4" w:space="0" w:color="000000"/>
            </w:tcBorders>
            <w:shd w:val="clear" w:color="auto" w:fill="auto"/>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1,15</w:t>
            </w:r>
          </w:p>
        </w:tc>
      </w:tr>
      <w:tr w:rsidR="005369CE" w:rsidRPr="000126E4" w:rsidTr="009A2A3A">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tcPr>
          <w:p w:rsidR="005369CE" w:rsidRPr="000126E4" w:rsidRDefault="005369CE"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Croatia</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0,3853</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2,70</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0,40</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3,54</w:t>
            </w:r>
          </w:p>
        </w:tc>
        <w:tc>
          <w:tcPr>
            <w:tcW w:w="1323" w:type="dxa"/>
            <w:tcBorders>
              <w:top w:val="nil"/>
              <w:left w:val="single" w:sz="4" w:space="0" w:color="000000"/>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43,1</w:t>
            </w:r>
          </w:p>
        </w:tc>
        <w:tc>
          <w:tcPr>
            <w:tcW w:w="1377"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2,50</w:t>
            </w:r>
          </w:p>
        </w:tc>
        <w:tc>
          <w:tcPr>
            <w:tcW w:w="1350"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0,02</w:t>
            </w:r>
          </w:p>
        </w:tc>
        <w:tc>
          <w:tcPr>
            <w:tcW w:w="1350"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28,9</w:t>
            </w:r>
          </w:p>
        </w:tc>
        <w:tc>
          <w:tcPr>
            <w:tcW w:w="1350"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0,94</w:t>
            </w:r>
          </w:p>
        </w:tc>
      </w:tr>
      <w:tr w:rsidR="005369CE" w:rsidRPr="000126E4" w:rsidTr="009A2A3A">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tcPr>
          <w:p w:rsidR="005369CE" w:rsidRPr="000126E4" w:rsidRDefault="005369CE"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Cyprus</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0,1231</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0,86</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0,13</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1,13</w:t>
            </w:r>
          </w:p>
        </w:tc>
        <w:tc>
          <w:tcPr>
            <w:tcW w:w="1323" w:type="dxa"/>
            <w:tcBorders>
              <w:top w:val="nil"/>
              <w:left w:val="single" w:sz="4" w:space="0" w:color="000000"/>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16,5</w:t>
            </w:r>
          </w:p>
        </w:tc>
        <w:tc>
          <w:tcPr>
            <w:tcW w:w="1377"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8,81</w:t>
            </w:r>
          </w:p>
        </w:tc>
        <w:tc>
          <w:tcPr>
            <w:tcW w:w="1350"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0,07</w:t>
            </w:r>
          </w:p>
        </w:tc>
        <w:tc>
          <w:tcPr>
            <w:tcW w:w="1350"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18,4</w:t>
            </w:r>
          </w:p>
        </w:tc>
        <w:tc>
          <w:tcPr>
            <w:tcW w:w="1350"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0,78</w:t>
            </w:r>
          </w:p>
        </w:tc>
      </w:tr>
      <w:tr w:rsidR="005369CE" w:rsidRPr="000126E4" w:rsidTr="009A2A3A">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hideMark/>
          </w:tcPr>
          <w:p w:rsidR="005369CE" w:rsidRPr="000126E4" w:rsidRDefault="005369CE"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Czech Republic</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1,1566</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8,10</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1,21</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10,64</w:t>
            </w:r>
          </w:p>
        </w:tc>
        <w:tc>
          <w:tcPr>
            <w:tcW w:w="1323" w:type="dxa"/>
            <w:tcBorders>
              <w:top w:val="nil"/>
              <w:left w:val="single" w:sz="4" w:space="0" w:color="000000"/>
              <w:bottom w:val="single" w:sz="4" w:space="0" w:color="000000"/>
              <w:right w:val="single" w:sz="4" w:space="0" w:color="000000"/>
            </w:tcBorders>
            <w:shd w:val="clear" w:color="auto" w:fill="auto"/>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149,5</w:t>
            </w:r>
          </w:p>
        </w:tc>
        <w:tc>
          <w:tcPr>
            <w:tcW w:w="1377" w:type="dxa"/>
            <w:tcBorders>
              <w:top w:val="nil"/>
              <w:left w:val="nil"/>
              <w:bottom w:val="single" w:sz="4" w:space="0" w:color="000000"/>
              <w:right w:val="single" w:sz="4" w:space="0" w:color="000000"/>
            </w:tcBorders>
            <w:shd w:val="clear" w:color="auto" w:fill="auto"/>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1,08</w:t>
            </w:r>
          </w:p>
        </w:tc>
        <w:tc>
          <w:tcPr>
            <w:tcW w:w="1350" w:type="dxa"/>
            <w:tcBorders>
              <w:top w:val="nil"/>
              <w:left w:val="nil"/>
              <w:bottom w:val="single" w:sz="4" w:space="0" w:color="000000"/>
              <w:right w:val="single" w:sz="4" w:space="0" w:color="000000"/>
            </w:tcBorders>
            <w:shd w:val="clear" w:color="auto" w:fill="auto"/>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0,01</w:t>
            </w:r>
          </w:p>
        </w:tc>
        <w:tc>
          <w:tcPr>
            <w:tcW w:w="1350" w:type="dxa"/>
            <w:tcBorders>
              <w:top w:val="nil"/>
              <w:left w:val="nil"/>
              <w:bottom w:val="single" w:sz="4" w:space="0" w:color="000000"/>
              <w:right w:val="single" w:sz="4" w:space="0" w:color="000000"/>
            </w:tcBorders>
            <w:shd w:val="clear" w:color="auto" w:fill="auto"/>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65,2</w:t>
            </w:r>
          </w:p>
        </w:tc>
        <w:tc>
          <w:tcPr>
            <w:tcW w:w="1350" w:type="dxa"/>
            <w:tcBorders>
              <w:top w:val="nil"/>
              <w:left w:val="nil"/>
              <w:bottom w:val="single" w:sz="4" w:space="0" w:color="000000"/>
              <w:right w:val="single" w:sz="4" w:space="0" w:color="000000"/>
            </w:tcBorders>
            <w:shd w:val="clear" w:color="auto" w:fill="auto"/>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0,81</w:t>
            </w:r>
          </w:p>
        </w:tc>
      </w:tr>
      <w:tr w:rsidR="005369CE" w:rsidRPr="000126E4" w:rsidTr="009A2A3A">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hideMark/>
          </w:tcPr>
          <w:p w:rsidR="005369CE" w:rsidRPr="000126E4" w:rsidRDefault="005369CE"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Denmark</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1,5929</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11,15</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1,67</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14,65</w:t>
            </w:r>
          </w:p>
        </w:tc>
        <w:tc>
          <w:tcPr>
            <w:tcW w:w="1323" w:type="dxa"/>
            <w:tcBorders>
              <w:top w:val="nil"/>
              <w:left w:val="single" w:sz="4" w:space="0" w:color="000000"/>
              <w:bottom w:val="single" w:sz="4" w:space="0" w:color="000000"/>
              <w:right w:val="single" w:sz="4" w:space="0" w:color="000000"/>
            </w:tcBorders>
            <w:shd w:val="clear" w:color="auto" w:fill="auto"/>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248,9</w:t>
            </w:r>
          </w:p>
        </w:tc>
        <w:tc>
          <w:tcPr>
            <w:tcW w:w="1377" w:type="dxa"/>
            <w:tcBorders>
              <w:top w:val="nil"/>
              <w:left w:val="nil"/>
              <w:bottom w:val="single" w:sz="4" w:space="0" w:color="000000"/>
              <w:right w:val="single" w:sz="4" w:space="0" w:color="000000"/>
            </w:tcBorders>
            <w:shd w:val="clear" w:color="auto" w:fill="auto"/>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2,50</w:t>
            </w:r>
          </w:p>
        </w:tc>
        <w:tc>
          <w:tcPr>
            <w:tcW w:w="1350" w:type="dxa"/>
            <w:tcBorders>
              <w:top w:val="nil"/>
              <w:left w:val="nil"/>
              <w:bottom w:val="single" w:sz="4" w:space="0" w:color="000000"/>
              <w:right w:val="single" w:sz="4" w:space="0" w:color="000000"/>
            </w:tcBorders>
            <w:shd w:val="clear" w:color="auto" w:fill="auto"/>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0,02</w:t>
            </w:r>
          </w:p>
        </w:tc>
        <w:tc>
          <w:tcPr>
            <w:tcW w:w="1350" w:type="dxa"/>
            <w:tcBorders>
              <w:top w:val="nil"/>
              <w:left w:val="nil"/>
              <w:bottom w:val="single" w:sz="4" w:space="0" w:color="000000"/>
              <w:right w:val="single" w:sz="4" w:space="0" w:color="000000"/>
            </w:tcBorders>
            <w:shd w:val="clear" w:color="auto" w:fill="auto"/>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110,8</w:t>
            </w:r>
          </w:p>
        </w:tc>
        <w:tc>
          <w:tcPr>
            <w:tcW w:w="1350" w:type="dxa"/>
            <w:tcBorders>
              <w:top w:val="nil"/>
              <w:left w:val="nil"/>
              <w:bottom w:val="single" w:sz="4" w:space="0" w:color="000000"/>
              <w:right w:val="single" w:sz="4" w:space="0" w:color="000000"/>
            </w:tcBorders>
            <w:shd w:val="clear" w:color="auto" w:fill="auto"/>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0,67</w:t>
            </w:r>
          </w:p>
        </w:tc>
      </w:tr>
      <w:tr w:rsidR="005369CE" w:rsidRPr="000126E4" w:rsidTr="009A2A3A">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tcPr>
          <w:p w:rsidR="005369CE" w:rsidRPr="000126E4" w:rsidRDefault="005369CE"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Estonia</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0,1516</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1,06</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0,16</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1,39</w:t>
            </w:r>
          </w:p>
        </w:tc>
        <w:tc>
          <w:tcPr>
            <w:tcW w:w="1323" w:type="dxa"/>
            <w:tcBorders>
              <w:top w:val="nil"/>
              <w:left w:val="single" w:sz="4" w:space="0" w:color="000000"/>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18,6</w:t>
            </w:r>
          </w:p>
        </w:tc>
        <w:tc>
          <w:tcPr>
            <w:tcW w:w="1377"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2,50</w:t>
            </w:r>
          </w:p>
        </w:tc>
        <w:tc>
          <w:tcPr>
            <w:tcW w:w="1350"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0,02</w:t>
            </w:r>
          </w:p>
        </w:tc>
        <w:tc>
          <w:tcPr>
            <w:tcW w:w="1350"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1,8</w:t>
            </w:r>
          </w:p>
        </w:tc>
        <w:tc>
          <w:tcPr>
            <w:tcW w:w="1350"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0,86</w:t>
            </w:r>
          </w:p>
        </w:tc>
      </w:tr>
      <w:tr w:rsidR="005369CE" w:rsidRPr="000126E4" w:rsidTr="009A2A3A">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tcPr>
          <w:p w:rsidR="005369CE" w:rsidRPr="000126E4" w:rsidRDefault="005369CE"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Finland</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1,3456</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9,42</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1,41</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12,38</w:t>
            </w:r>
          </w:p>
        </w:tc>
        <w:tc>
          <w:tcPr>
            <w:tcW w:w="1323" w:type="dxa"/>
            <w:tcBorders>
              <w:top w:val="nil"/>
              <w:left w:val="single" w:sz="4" w:space="0" w:color="000000"/>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193,4</w:t>
            </w:r>
          </w:p>
        </w:tc>
        <w:tc>
          <w:tcPr>
            <w:tcW w:w="1377"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0,95</w:t>
            </w:r>
          </w:p>
        </w:tc>
        <w:tc>
          <w:tcPr>
            <w:tcW w:w="1350"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0,01</w:t>
            </w:r>
          </w:p>
        </w:tc>
        <w:tc>
          <w:tcPr>
            <w:tcW w:w="1350"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110,2</w:t>
            </w:r>
          </w:p>
        </w:tc>
        <w:tc>
          <w:tcPr>
            <w:tcW w:w="1350"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0,73</w:t>
            </w:r>
          </w:p>
        </w:tc>
      </w:tr>
      <w:tr w:rsidR="005369CE" w:rsidRPr="000126E4" w:rsidTr="009A2A3A">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tcPr>
          <w:p w:rsidR="005369CE" w:rsidRPr="000126E4" w:rsidRDefault="005369CE"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France</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15,1861</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106,30</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15,95</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139,71</w:t>
            </w:r>
          </w:p>
        </w:tc>
        <w:tc>
          <w:tcPr>
            <w:tcW w:w="1323" w:type="dxa"/>
            <w:tcBorders>
              <w:top w:val="nil"/>
              <w:left w:val="single" w:sz="4" w:space="0" w:color="000000"/>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2 059,9</w:t>
            </w:r>
          </w:p>
        </w:tc>
        <w:tc>
          <w:tcPr>
            <w:tcW w:w="1377"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1,20</w:t>
            </w:r>
          </w:p>
        </w:tc>
        <w:tc>
          <w:tcPr>
            <w:tcW w:w="1350"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0,01</w:t>
            </w:r>
          </w:p>
        </w:tc>
        <w:tc>
          <w:tcPr>
            <w:tcW w:w="1350"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1 925,3</w:t>
            </w:r>
          </w:p>
        </w:tc>
        <w:tc>
          <w:tcPr>
            <w:tcW w:w="1350"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0,77</w:t>
            </w:r>
          </w:p>
        </w:tc>
      </w:tr>
      <w:tr w:rsidR="005369CE" w:rsidRPr="000126E4" w:rsidTr="009A2A3A">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hideMark/>
          </w:tcPr>
          <w:p w:rsidR="005369CE" w:rsidRPr="000126E4" w:rsidRDefault="005369CE"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Germany</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19,2753</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134,93</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20,24</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177,33</w:t>
            </w:r>
          </w:p>
        </w:tc>
        <w:tc>
          <w:tcPr>
            <w:tcW w:w="1323" w:type="dxa"/>
            <w:tcBorders>
              <w:top w:val="nil"/>
              <w:left w:val="single" w:sz="4" w:space="0" w:color="000000"/>
              <w:bottom w:val="single" w:sz="4" w:space="0" w:color="000000"/>
              <w:right w:val="single" w:sz="4" w:space="0" w:color="000000"/>
            </w:tcBorders>
            <w:shd w:val="clear" w:color="auto" w:fill="auto"/>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2 737,6</w:t>
            </w:r>
          </w:p>
        </w:tc>
        <w:tc>
          <w:tcPr>
            <w:tcW w:w="1377" w:type="dxa"/>
            <w:tcBorders>
              <w:top w:val="nil"/>
              <w:left w:val="nil"/>
              <w:bottom w:val="single" w:sz="4" w:space="0" w:color="000000"/>
              <w:right w:val="single" w:sz="4" w:space="0" w:color="000000"/>
            </w:tcBorders>
            <w:shd w:val="clear" w:color="auto" w:fill="auto"/>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0,85</w:t>
            </w:r>
          </w:p>
        </w:tc>
        <w:tc>
          <w:tcPr>
            <w:tcW w:w="1350" w:type="dxa"/>
            <w:tcBorders>
              <w:top w:val="nil"/>
              <w:left w:val="nil"/>
              <w:bottom w:val="single" w:sz="4" w:space="0" w:color="000000"/>
              <w:right w:val="single" w:sz="4" w:space="0" w:color="000000"/>
            </w:tcBorders>
            <w:shd w:val="clear" w:color="auto" w:fill="auto"/>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0,01</w:t>
            </w:r>
          </w:p>
        </w:tc>
        <w:tc>
          <w:tcPr>
            <w:tcW w:w="1350" w:type="dxa"/>
            <w:tcBorders>
              <w:top w:val="nil"/>
              <w:left w:val="nil"/>
              <w:bottom w:val="single" w:sz="4" w:space="0" w:color="000000"/>
              <w:right w:val="single" w:sz="4" w:space="0" w:color="000000"/>
            </w:tcBorders>
            <w:shd w:val="clear" w:color="auto" w:fill="auto"/>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2 147,0</w:t>
            </w:r>
          </w:p>
        </w:tc>
        <w:tc>
          <w:tcPr>
            <w:tcW w:w="1350" w:type="dxa"/>
            <w:tcBorders>
              <w:top w:val="nil"/>
              <w:left w:val="nil"/>
              <w:bottom w:val="single" w:sz="4" w:space="0" w:color="000000"/>
              <w:right w:val="single" w:sz="4" w:space="0" w:color="000000"/>
            </w:tcBorders>
            <w:shd w:val="clear" w:color="auto" w:fill="auto"/>
            <w:noWrap/>
            <w:vAlign w:val="bottom"/>
            <w:hideMark/>
          </w:tcPr>
          <w:p w:rsidR="005369CE" w:rsidRPr="00AD3C06" w:rsidRDefault="005369CE"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0,74</w:t>
            </w:r>
          </w:p>
        </w:tc>
      </w:tr>
      <w:tr w:rsidR="005369CE" w:rsidRPr="000126E4" w:rsidTr="009A2A3A">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tcPr>
          <w:p w:rsidR="005369CE" w:rsidRPr="000126E4" w:rsidRDefault="005369CE"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Greece</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1,5081</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10,56</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1,58</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13,87</w:t>
            </w:r>
          </w:p>
        </w:tc>
        <w:tc>
          <w:tcPr>
            <w:tcW w:w="1323" w:type="dxa"/>
            <w:tcBorders>
              <w:top w:val="nil"/>
              <w:left w:val="single" w:sz="4" w:space="0" w:color="000000"/>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182,1</w:t>
            </w:r>
          </w:p>
        </w:tc>
        <w:tc>
          <w:tcPr>
            <w:tcW w:w="1377"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8,07</w:t>
            </w:r>
          </w:p>
        </w:tc>
        <w:tc>
          <w:tcPr>
            <w:tcW w:w="1350"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0,07</w:t>
            </w:r>
          </w:p>
        </w:tc>
        <w:tc>
          <w:tcPr>
            <w:tcW w:w="1350"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318,7</w:t>
            </w:r>
          </w:p>
        </w:tc>
        <w:tc>
          <w:tcPr>
            <w:tcW w:w="1350" w:type="dxa"/>
            <w:tcBorders>
              <w:top w:val="nil"/>
              <w:left w:val="nil"/>
              <w:bottom w:val="single" w:sz="4" w:space="0" w:color="000000"/>
              <w:right w:val="single" w:sz="4" w:space="0" w:color="000000"/>
            </w:tcBorders>
            <w:shd w:val="clear" w:color="auto" w:fill="auto"/>
            <w:noWrap/>
            <w:vAlign w:val="bottom"/>
          </w:tcPr>
          <w:p w:rsidR="005369CE" w:rsidRPr="00AD3C06" w:rsidRDefault="005369CE"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0,87</w:t>
            </w:r>
          </w:p>
        </w:tc>
      </w:tr>
      <w:tr w:rsidR="00E40118" w:rsidRPr="000126E4" w:rsidTr="00484250">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tcPr>
          <w:p w:rsidR="00E40118" w:rsidRPr="000126E4" w:rsidRDefault="00E40118"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Hungary</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0,8894</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6,23</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0,93</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8,18</w:t>
            </w:r>
          </w:p>
        </w:tc>
        <w:tc>
          <w:tcPr>
            <w:tcW w:w="1323" w:type="dxa"/>
            <w:tcBorders>
              <w:top w:val="nil"/>
              <w:left w:val="single" w:sz="4" w:space="0" w:color="000000"/>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97,9</w:t>
            </w:r>
          </w:p>
        </w:tc>
        <w:tc>
          <w:tcPr>
            <w:tcW w:w="1377"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2,35</w:t>
            </w:r>
          </w:p>
        </w:tc>
        <w:tc>
          <w:tcPr>
            <w:tcW w:w="1350"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0,02</w:t>
            </w:r>
          </w:p>
        </w:tc>
        <w:tc>
          <w:tcPr>
            <w:tcW w:w="1350"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77,7</w:t>
            </w:r>
          </w:p>
        </w:tc>
        <w:tc>
          <w:tcPr>
            <w:tcW w:w="1350"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0,95</w:t>
            </w:r>
          </w:p>
        </w:tc>
      </w:tr>
      <w:tr w:rsidR="00E40118" w:rsidRPr="000126E4" w:rsidTr="009A2A3A">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hideMark/>
          </w:tcPr>
          <w:p w:rsidR="00E40118" w:rsidRPr="000126E4" w:rsidRDefault="00E40118"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Ireland</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1,2431</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8,70</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1,31</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11,44</w:t>
            </w:r>
          </w:p>
        </w:tc>
        <w:tc>
          <w:tcPr>
            <w:tcW w:w="1323" w:type="dxa"/>
            <w:tcBorders>
              <w:top w:val="nil"/>
              <w:left w:val="single" w:sz="4" w:space="0" w:color="000000"/>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164,0</w:t>
            </w:r>
          </w:p>
        </w:tc>
        <w:tc>
          <w:tcPr>
            <w:tcW w:w="1377"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1,70</w:t>
            </w:r>
          </w:p>
        </w:tc>
        <w:tc>
          <w:tcPr>
            <w:tcW w:w="1350"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0,01</w:t>
            </w:r>
          </w:p>
        </w:tc>
        <w:tc>
          <w:tcPr>
            <w:tcW w:w="1350"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202,9</w:t>
            </w:r>
          </w:p>
        </w:tc>
        <w:tc>
          <w:tcPr>
            <w:tcW w:w="1350"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0,80</w:t>
            </w:r>
          </w:p>
        </w:tc>
      </w:tr>
      <w:tr w:rsidR="00E40118" w:rsidRPr="000126E4" w:rsidTr="00484250">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tcPr>
          <w:p w:rsidR="00E40118" w:rsidRPr="000126E4" w:rsidRDefault="00E40118"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lastRenderedPageBreak/>
              <w:t>Italy</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13,185</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92,30</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13,84</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121,30</w:t>
            </w:r>
          </w:p>
        </w:tc>
        <w:tc>
          <w:tcPr>
            <w:tcW w:w="1323" w:type="dxa"/>
            <w:tcBorders>
              <w:top w:val="nil"/>
              <w:left w:val="single" w:sz="4" w:space="0" w:color="000000"/>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1 560,0</w:t>
            </w:r>
          </w:p>
        </w:tc>
        <w:tc>
          <w:tcPr>
            <w:tcW w:w="1377"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2,38</w:t>
            </w:r>
          </w:p>
        </w:tc>
        <w:tc>
          <w:tcPr>
            <w:tcW w:w="1350"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0,02</w:t>
            </w:r>
          </w:p>
        </w:tc>
        <w:tc>
          <w:tcPr>
            <w:tcW w:w="1350"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2 069,2</w:t>
            </w:r>
          </w:p>
        </w:tc>
        <w:tc>
          <w:tcPr>
            <w:tcW w:w="1350"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0,89</w:t>
            </w:r>
          </w:p>
        </w:tc>
      </w:tr>
      <w:tr w:rsidR="00E40118" w:rsidRPr="000126E4" w:rsidTr="00484250">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tcPr>
          <w:p w:rsidR="00E40118" w:rsidRPr="000126E4" w:rsidRDefault="00E40118"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Latvia</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0,2073</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1,45</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0,22</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1,91</w:t>
            </w:r>
          </w:p>
        </w:tc>
        <w:tc>
          <w:tcPr>
            <w:tcW w:w="1323" w:type="dxa"/>
            <w:tcBorders>
              <w:top w:val="nil"/>
              <w:left w:val="single" w:sz="4" w:space="0" w:color="000000"/>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23,4</w:t>
            </w:r>
          </w:p>
        </w:tc>
        <w:tc>
          <w:tcPr>
            <w:tcW w:w="1377"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2,00</w:t>
            </w:r>
          </w:p>
        </w:tc>
        <w:tc>
          <w:tcPr>
            <w:tcW w:w="1350"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0,02</w:t>
            </w:r>
          </w:p>
        </w:tc>
        <w:tc>
          <w:tcPr>
            <w:tcW w:w="1350"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8,9</w:t>
            </w:r>
          </w:p>
        </w:tc>
        <w:tc>
          <w:tcPr>
            <w:tcW w:w="1350"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0,93</w:t>
            </w:r>
          </w:p>
        </w:tc>
      </w:tr>
      <w:tr w:rsidR="00E40118" w:rsidRPr="000126E4" w:rsidTr="00484250">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tcPr>
          <w:p w:rsidR="00E40118" w:rsidRPr="000126E4" w:rsidRDefault="00E40118"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Lithuania</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0,2974</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2,08</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0,31</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2,74</w:t>
            </w:r>
          </w:p>
        </w:tc>
        <w:tc>
          <w:tcPr>
            <w:tcW w:w="1323" w:type="dxa"/>
            <w:tcBorders>
              <w:top w:val="nil"/>
              <w:left w:val="single" w:sz="4" w:space="0" w:color="000000"/>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34,6</w:t>
            </w:r>
          </w:p>
        </w:tc>
        <w:tc>
          <w:tcPr>
            <w:tcW w:w="1377"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1,83</w:t>
            </w:r>
          </w:p>
        </w:tc>
        <w:tc>
          <w:tcPr>
            <w:tcW w:w="1350"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0,02</w:t>
            </w:r>
          </w:p>
        </w:tc>
        <w:tc>
          <w:tcPr>
            <w:tcW w:w="1350"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13,6</w:t>
            </w:r>
          </w:p>
        </w:tc>
        <w:tc>
          <w:tcPr>
            <w:tcW w:w="1350"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0,90</w:t>
            </w:r>
          </w:p>
        </w:tc>
      </w:tr>
      <w:tr w:rsidR="00E40118" w:rsidRPr="000126E4" w:rsidTr="00484250">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tcPr>
          <w:p w:rsidR="00E40118" w:rsidRPr="000126E4" w:rsidRDefault="00E40118"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Luxembourg</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0,2174</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1,52</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0,23</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2,00</w:t>
            </w:r>
          </w:p>
        </w:tc>
        <w:tc>
          <w:tcPr>
            <w:tcW w:w="1323" w:type="dxa"/>
            <w:tcBorders>
              <w:top w:val="nil"/>
              <w:left w:val="single" w:sz="4" w:space="0" w:color="000000"/>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45,5</w:t>
            </w:r>
          </w:p>
        </w:tc>
        <w:tc>
          <w:tcPr>
            <w:tcW w:w="1377"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2,50</w:t>
            </w:r>
          </w:p>
        </w:tc>
        <w:tc>
          <w:tcPr>
            <w:tcW w:w="1350"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0,01</w:t>
            </w:r>
          </w:p>
        </w:tc>
        <w:tc>
          <w:tcPr>
            <w:tcW w:w="1350"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10,5</w:t>
            </w:r>
          </w:p>
        </w:tc>
        <w:tc>
          <w:tcPr>
            <w:tcW w:w="1350"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0,50</w:t>
            </w:r>
          </w:p>
        </w:tc>
      </w:tr>
      <w:tr w:rsidR="00E40118" w:rsidRPr="000126E4" w:rsidTr="009A2A3A">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hideMark/>
          </w:tcPr>
          <w:p w:rsidR="00E40118" w:rsidRPr="000126E4" w:rsidRDefault="00E40118"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Malta</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0,0553</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0,39</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0,06</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0,51</w:t>
            </w:r>
          </w:p>
        </w:tc>
        <w:tc>
          <w:tcPr>
            <w:tcW w:w="1323" w:type="dxa"/>
            <w:tcBorders>
              <w:top w:val="nil"/>
              <w:left w:val="single" w:sz="4" w:space="0" w:color="000000"/>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7,3</w:t>
            </w:r>
          </w:p>
        </w:tc>
        <w:tc>
          <w:tcPr>
            <w:tcW w:w="1377"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2,15</w:t>
            </w:r>
          </w:p>
        </w:tc>
        <w:tc>
          <w:tcPr>
            <w:tcW w:w="1350"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0,02</w:t>
            </w:r>
          </w:p>
        </w:tc>
        <w:tc>
          <w:tcPr>
            <w:tcW w:w="1350"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5,2</w:t>
            </w:r>
          </w:p>
        </w:tc>
        <w:tc>
          <w:tcPr>
            <w:tcW w:w="1350"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0,80</w:t>
            </w:r>
          </w:p>
        </w:tc>
      </w:tr>
      <w:tr w:rsidR="00E40118" w:rsidRPr="000126E4" w:rsidTr="009A2A3A">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hideMark/>
          </w:tcPr>
          <w:p w:rsidR="00E40118" w:rsidRPr="000126E4" w:rsidRDefault="00E40118"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Netherlands</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4,2878</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30,01</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4,50</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39,45</w:t>
            </w:r>
          </w:p>
        </w:tc>
        <w:tc>
          <w:tcPr>
            <w:tcW w:w="1323" w:type="dxa"/>
            <w:tcBorders>
              <w:top w:val="nil"/>
              <w:left w:val="single" w:sz="4" w:space="0" w:color="000000"/>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602,7</w:t>
            </w:r>
          </w:p>
        </w:tc>
        <w:tc>
          <w:tcPr>
            <w:tcW w:w="1377"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0,97</w:t>
            </w:r>
          </w:p>
        </w:tc>
        <w:tc>
          <w:tcPr>
            <w:tcW w:w="1350"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0,01</w:t>
            </w:r>
          </w:p>
        </w:tc>
        <w:tc>
          <w:tcPr>
            <w:tcW w:w="1350"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443,0</w:t>
            </w:r>
          </w:p>
        </w:tc>
        <w:tc>
          <w:tcPr>
            <w:tcW w:w="1350"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0,75</w:t>
            </w:r>
          </w:p>
        </w:tc>
      </w:tr>
      <w:tr w:rsidR="00E40118" w:rsidRPr="000126E4" w:rsidTr="009A2A3A">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hideMark/>
          </w:tcPr>
          <w:p w:rsidR="00E40118" w:rsidRPr="000126E4" w:rsidRDefault="00E40118"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Poland</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3,4662</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24,26</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3,64</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31,89</w:t>
            </w:r>
          </w:p>
        </w:tc>
        <w:tc>
          <w:tcPr>
            <w:tcW w:w="1323" w:type="dxa"/>
            <w:tcBorders>
              <w:top w:val="nil"/>
              <w:left w:val="single" w:sz="4" w:space="0" w:color="000000"/>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389,7</w:t>
            </w:r>
          </w:p>
        </w:tc>
        <w:tc>
          <w:tcPr>
            <w:tcW w:w="1377"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1,72</w:t>
            </w:r>
          </w:p>
        </w:tc>
        <w:tc>
          <w:tcPr>
            <w:tcW w:w="1350"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0,02</w:t>
            </w:r>
          </w:p>
        </w:tc>
        <w:tc>
          <w:tcPr>
            <w:tcW w:w="1350"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224,5</w:t>
            </w:r>
          </w:p>
        </w:tc>
        <w:tc>
          <w:tcPr>
            <w:tcW w:w="1350"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0,93</w:t>
            </w:r>
          </w:p>
        </w:tc>
      </w:tr>
      <w:tr w:rsidR="00E40118" w:rsidRPr="000126E4" w:rsidTr="009A2A3A">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hideMark/>
          </w:tcPr>
          <w:p w:rsidR="00E40118" w:rsidRPr="000126E4" w:rsidRDefault="00E40118"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Portugal</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1,3561</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9,49</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1,42</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12,48</w:t>
            </w:r>
          </w:p>
        </w:tc>
        <w:tc>
          <w:tcPr>
            <w:tcW w:w="1323" w:type="dxa"/>
            <w:tcBorders>
              <w:top w:val="nil"/>
              <w:left w:val="single" w:sz="4" w:space="0" w:color="000000"/>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165,7</w:t>
            </w:r>
          </w:p>
        </w:tc>
        <w:tc>
          <w:tcPr>
            <w:tcW w:w="1377"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3,23</w:t>
            </w:r>
          </w:p>
        </w:tc>
        <w:tc>
          <w:tcPr>
            <w:tcW w:w="1350"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0,03</w:t>
            </w:r>
          </w:p>
        </w:tc>
        <w:tc>
          <w:tcPr>
            <w:tcW w:w="1350"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213,6</w:t>
            </w:r>
          </w:p>
        </w:tc>
        <w:tc>
          <w:tcPr>
            <w:tcW w:w="1350"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0,86</w:t>
            </w:r>
          </w:p>
        </w:tc>
      </w:tr>
      <w:tr w:rsidR="00E40118" w:rsidRPr="000126E4" w:rsidTr="009A2A3A">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hideMark/>
          </w:tcPr>
          <w:p w:rsidR="00E40118" w:rsidRPr="000126E4" w:rsidRDefault="00E40118"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Romania</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1,4537</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10,18</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1,53</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13,37</w:t>
            </w:r>
          </w:p>
        </w:tc>
        <w:tc>
          <w:tcPr>
            <w:tcW w:w="1323" w:type="dxa"/>
            <w:tcBorders>
              <w:top w:val="nil"/>
              <w:left w:val="single" w:sz="4" w:space="0" w:color="000000"/>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142,2</w:t>
            </w:r>
          </w:p>
        </w:tc>
        <w:tc>
          <w:tcPr>
            <w:tcW w:w="1377"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2,89</w:t>
            </w:r>
          </w:p>
        </w:tc>
        <w:tc>
          <w:tcPr>
            <w:tcW w:w="1350"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0,03</w:t>
            </w:r>
          </w:p>
        </w:tc>
        <w:tc>
          <w:tcPr>
            <w:tcW w:w="1350"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54,0</w:t>
            </w:r>
          </w:p>
        </w:tc>
        <w:tc>
          <w:tcPr>
            <w:tcW w:w="1350"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1,07</w:t>
            </w:r>
          </w:p>
        </w:tc>
      </w:tr>
      <w:tr w:rsidR="00E40118" w:rsidRPr="000126E4" w:rsidTr="00484250">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tcPr>
          <w:p w:rsidR="00E40118" w:rsidRPr="000126E4" w:rsidRDefault="00E40118"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Slovakia</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0,5966</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4,18</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0,63</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5,49</w:t>
            </w:r>
          </w:p>
        </w:tc>
        <w:tc>
          <w:tcPr>
            <w:tcW w:w="1323" w:type="dxa"/>
            <w:tcBorders>
              <w:top w:val="nil"/>
              <w:left w:val="single" w:sz="4" w:space="0" w:color="000000"/>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72,1</w:t>
            </w:r>
          </w:p>
        </w:tc>
        <w:tc>
          <w:tcPr>
            <w:tcW w:w="1377"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1,48</w:t>
            </w:r>
          </w:p>
        </w:tc>
        <w:tc>
          <w:tcPr>
            <w:tcW w:w="1350"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0,01</w:t>
            </w:r>
          </w:p>
        </w:tc>
        <w:tc>
          <w:tcPr>
            <w:tcW w:w="1350"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40,0</w:t>
            </w:r>
          </w:p>
        </w:tc>
        <w:tc>
          <w:tcPr>
            <w:tcW w:w="1350"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0,87</w:t>
            </w:r>
          </w:p>
        </w:tc>
      </w:tr>
      <w:tr w:rsidR="00E40118" w:rsidRPr="000126E4" w:rsidTr="009A2A3A">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tcPr>
          <w:p w:rsidR="00E40118" w:rsidRPr="000126E4" w:rsidRDefault="00E40118"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Slovenia</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E40118" w:rsidRPr="00AD3C06" w:rsidRDefault="00E40118"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0,2822</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E40118" w:rsidRPr="00AD3C06" w:rsidRDefault="00E40118"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1,98</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E40118" w:rsidRPr="00AD3C06" w:rsidRDefault="00E40118"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0,30</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E40118" w:rsidRPr="00AD3C06" w:rsidRDefault="00E40118"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2,60</w:t>
            </w:r>
          </w:p>
        </w:tc>
        <w:tc>
          <w:tcPr>
            <w:tcW w:w="1323" w:type="dxa"/>
            <w:tcBorders>
              <w:top w:val="nil"/>
              <w:left w:val="single" w:sz="4" w:space="0" w:color="000000"/>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35,3</w:t>
            </w:r>
          </w:p>
        </w:tc>
        <w:tc>
          <w:tcPr>
            <w:tcW w:w="1377"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2,65</w:t>
            </w:r>
          </w:p>
        </w:tc>
        <w:tc>
          <w:tcPr>
            <w:tcW w:w="1350"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0,02</w:t>
            </w:r>
          </w:p>
        </w:tc>
        <w:tc>
          <w:tcPr>
            <w:tcW w:w="1350"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25,3</w:t>
            </w:r>
          </w:p>
        </w:tc>
        <w:tc>
          <w:tcPr>
            <w:tcW w:w="1350"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hAnsiTheme="majorHAnsi" w:cs="Arial"/>
                <w:sz w:val="20"/>
                <w:szCs w:val="20"/>
              </w:rPr>
            </w:pPr>
            <w:r w:rsidRPr="00AD3C06">
              <w:rPr>
                <w:rFonts w:asciiTheme="majorHAnsi" w:hAnsiTheme="majorHAnsi" w:cs="Arial"/>
                <w:sz w:val="20"/>
                <w:szCs w:val="20"/>
              </w:rPr>
              <w:t>0,84</w:t>
            </w:r>
          </w:p>
        </w:tc>
      </w:tr>
      <w:tr w:rsidR="00E40118" w:rsidRPr="000126E4" w:rsidTr="00484250">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tcPr>
          <w:p w:rsidR="00E40118" w:rsidRPr="000126E4" w:rsidRDefault="00E40118"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Spain</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9,4687</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66,28</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9,94</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87,11</w:t>
            </w:r>
          </w:p>
        </w:tc>
        <w:tc>
          <w:tcPr>
            <w:tcW w:w="1323" w:type="dxa"/>
            <w:tcBorders>
              <w:top w:val="nil"/>
              <w:left w:val="single" w:sz="4" w:space="0" w:color="000000"/>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1 023,0</w:t>
            </w:r>
          </w:p>
        </w:tc>
        <w:tc>
          <w:tcPr>
            <w:tcW w:w="1377"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2,16</w:t>
            </w:r>
          </w:p>
        </w:tc>
        <w:tc>
          <w:tcPr>
            <w:tcW w:w="1350"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0,02</w:t>
            </w:r>
          </w:p>
        </w:tc>
        <w:tc>
          <w:tcPr>
            <w:tcW w:w="1350"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960,7</w:t>
            </w:r>
          </w:p>
        </w:tc>
        <w:tc>
          <w:tcPr>
            <w:tcW w:w="1350" w:type="dxa"/>
            <w:tcBorders>
              <w:top w:val="nil"/>
              <w:left w:val="nil"/>
              <w:bottom w:val="single" w:sz="4" w:space="0" w:color="000000"/>
              <w:right w:val="single" w:sz="4" w:space="0" w:color="000000"/>
            </w:tcBorders>
            <w:shd w:val="clear" w:color="auto" w:fill="auto"/>
            <w:noWrap/>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0,97</w:t>
            </w:r>
          </w:p>
        </w:tc>
      </w:tr>
      <w:tr w:rsidR="00E40118" w:rsidRPr="000126E4" w:rsidTr="009A2A3A">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hideMark/>
          </w:tcPr>
          <w:p w:rsidR="00E40118" w:rsidRPr="000126E4" w:rsidRDefault="00E40118"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Sweden</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2,4343</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17,04</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2,56</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22,40</w:t>
            </w:r>
          </w:p>
        </w:tc>
        <w:tc>
          <w:tcPr>
            <w:tcW w:w="1323" w:type="dxa"/>
            <w:tcBorders>
              <w:top w:val="nil"/>
              <w:left w:val="single" w:sz="4" w:space="0" w:color="000000"/>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420,8</w:t>
            </w:r>
          </w:p>
        </w:tc>
        <w:tc>
          <w:tcPr>
            <w:tcW w:w="1377"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0,21</w:t>
            </w:r>
          </w:p>
        </w:tc>
        <w:tc>
          <w:tcPr>
            <w:tcW w:w="1350"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0,00</w:t>
            </w:r>
          </w:p>
        </w:tc>
        <w:tc>
          <w:tcPr>
            <w:tcW w:w="1350"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166,5</w:t>
            </w:r>
          </w:p>
        </w:tc>
        <w:tc>
          <w:tcPr>
            <w:tcW w:w="1350"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0,61</w:t>
            </w:r>
          </w:p>
        </w:tc>
      </w:tr>
      <w:tr w:rsidR="00E40118" w:rsidRPr="000126E4" w:rsidTr="009A2A3A">
        <w:trPr>
          <w:trHeight w:val="285"/>
        </w:trPr>
        <w:tc>
          <w:tcPr>
            <w:tcW w:w="19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bottom"/>
            <w:hideMark/>
          </w:tcPr>
          <w:p w:rsidR="00E40118" w:rsidRPr="000126E4" w:rsidRDefault="00E40118" w:rsidP="00150C8A">
            <w:pPr>
              <w:spacing w:before="120" w:line="276" w:lineRule="auto"/>
              <w:rPr>
                <w:rFonts w:asciiTheme="majorHAnsi" w:eastAsia="Times New Roman" w:hAnsiTheme="majorHAnsi" w:cs="Arial"/>
                <w:b/>
                <w:sz w:val="20"/>
                <w:szCs w:val="20"/>
                <w:lang w:eastAsia="pl-PL"/>
              </w:rPr>
            </w:pPr>
            <w:r w:rsidRPr="000126E4">
              <w:rPr>
                <w:rFonts w:asciiTheme="majorHAnsi" w:eastAsia="Times New Roman" w:hAnsiTheme="majorHAnsi" w:cs="Arial"/>
                <w:b/>
                <w:sz w:val="20"/>
                <w:szCs w:val="20"/>
                <w:lang w:eastAsia="pl-PL"/>
              </w:rPr>
              <w:t>United Kingdom</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14,6453</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102,52</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15,38</w:t>
            </w:r>
          </w:p>
        </w:tc>
        <w:tc>
          <w:tcPr>
            <w:tcW w:w="135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134,74</w:t>
            </w:r>
          </w:p>
        </w:tc>
        <w:tc>
          <w:tcPr>
            <w:tcW w:w="1323" w:type="dxa"/>
            <w:tcBorders>
              <w:top w:val="nil"/>
              <w:left w:val="single" w:sz="4" w:space="0" w:color="000000"/>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1 899,1</w:t>
            </w:r>
          </w:p>
        </w:tc>
        <w:tc>
          <w:tcPr>
            <w:tcW w:w="1377"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2,26</w:t>
            </w:r>
          </w:p>
        </w:tc>
        <w:tc>
          <w:tcPr>
            <w:tcW w:w="1350"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0,02</w:t>
            </w:r>
          </w:p>
        </w:tc>
        <w:tc>
          <w:tcPr>
            <w:tcW w:w="1350"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1 752,4</w:t>
            </w:r>
          </w:p>
        </w:tc>
        <w:tc>
          <w:tcPr>
            <w:tcW w:w="1350" w:type="dxa"/>
            <w:tcBorders>
              <w:top w:val="nil"/>
              <w:left w:val="nil"/>
              <w:bottom w:val="single" w:sz="4" w:space="0" w:color="000000"/>
              <w:right w:val="single" w:sz="4" w:space="0" w:color="000000"/>
            </w:tcBorders>
            <w:shd w:val="clear" w:color="auto" w:fill="auto"/>
            <w:noWrap/>
            <w:vAlign w:val="bottom"/>
            <w:hideMark/>
          </w:tcPr>
          <w:p w:rsidR="00E40118" w:rsidRPr="00AD3C06" w:rsidRDefault="00E40118" w:rsidP="00150C8A">
            <w:pPr>
              <w:spacing w:before="120" w:line="276" w:lineRule="auto"/>
              <w:jc w:val="right"/>
              <w:rPr>
                <w:rFonts w:asciiTheme="majorHAnsi" w:eastAsia="Times New Roman" w:hAnsiTheme="majorHAnsi" w:cs="Arial"/>
                <w:sz w:val="20"/>
                <w:szCs w:val="20"/>
                <w:lang w:eastAsia="pl-PL"/>
              </w:rPr>
            </w:pPr>
            <w:r w:rsidRPr="00AD3C06">
              <w:rPr>
                <w:rFonts w:asciiTheme="majorHAnsi" w:hAnsiTheme="majorHAnsi" w:cs="Arial"/>
                <w:sz w:val="20"/>
                <w:szCs w:val="20"/>
              </w:rPr>
              <w:t>0,81</w:t>
            </w:r>
          </w:p>
        </w:tc>
      </w:tr>
    </w:tbl>
    <w:p w:rsidR="009A2A3A" w:rsidRDefault="009A2A3A" w:rsidP="00205EC9">
      <w:pPr>
        <w:spacing w:before="120"/>
        <w:jc w:val="both"/>
        <w:rPr>
          <w:rFonts w:asciiTheme="majorHAnsi" w:hAnsiTheme="majorHAnsi"/>
        </w:rPr>
      </w:pPr>
      <w:r w:rsidRPr="009A2A3A">
        <w:rPr>
          <w:rFonts w:asciiTheme="majorHAnsi" w:hAnsiTheme="majorHAnsi"/>
          <w:vertAlign w:val="superscript"/>
        </w:rPr>
        <w:t xml:space="preserve">1 </w:t>
      </w:r>
      <w:r>
        <w:rPr>
          <w:rFonts w:asciiTheme="majorHAnsi" w:hAnsiTheme="majorHAnsi"/>
          <w:vertAlign w:val="superscript"/>
        </w:rPr>
        <w:t xml:space="preserve"> </w:t>
      </w:r>
      <w:r w:rsidRPr="009A2A3A">
        <w:rPr>
          <w:rFonts w:asciiTheme="majorHAnsi" w:hAnsiTheme="majorHAnsi"/>
          <w:sz w:val="20"/>
          <w:szCs w:val="20"/>
        </w:rPr>
        <w:t xml:space="preserve">For BG, CZ, EE, </w:t>
      </w:r>
      <w:r w:rsidR="00C15A0E">
        <w:rPr>
          <w:rFonts w:asciiTheme="majorHAnsi" w:hAnsiTheme="majorHAnsi"/>
          <w:sz w:val="20"/>
          <w:szCs w:val="20"/>
        </w:rPr>
        <w:t>EL</w:t>
      </w:r>
      <w:r w:rsidRPr="009A2A3A">
        <w:rPr>
          <w:rFonts w:asciiTheme="majorHAnsi" w:hAnsiTheme="majorHAnsi"/>
          <w:sz w:val="20"/>
          <w:szCs w:val="20"/>
        </w:rPr>
        <w:t xml:space="preserve">, HR, CY, LV, LT, HU, MT, PL, RO, SI, SK correction of the contribution key is applied using the same formula as established under the ESM Treaty. </w:t>
      </w:r>
      <w:r w:rsidR="00AD3C06" w:rsidRPr="00AD3C06">
        <w:rPr>
          <w:rFonts w:asciiTheme="majorHAnsi" w:hAnsiTheme="majorHAnsi"/>
          <w:sz w:val="20"/>
          <w:szCs w:val="20"/>
        </w:rPr>
        <w:t xml:space="preserve">Figures </w:t>
      </w:r>
      <w:r w:rsidR="00AD3C06">
        <w:rPr>
          <w:rFonts w:asciiTheme="majorHAnsi" w:hAnsiTheme="majorHAnsi"/>
          <w:sz w:val="20"/>
          <w:szCs w:val="20"/>
        </w:rPr>
        <w:t>for</w:t>
      </w:r>
      <w:r w:rsidR="00AD3C06" w:rsidRPr="00AD3C06">
        <w:rPr>
          <w:rFonts w:asciiTheme="majorHAnsi" w:hAnsiTheme="majorHAnsi"/>
          <w:sz w:val="20"/>
          <w:szCs w:val="20"/>
        </w:rPr>
        <w:t xml:space="preserve"> countries not benefiting from correction key are adjusted proportionally</w:t>
      </w:r>
      <w:r w:rsidR="00AD3C06">
        <w:rPr>
          <w:rFonts w:asciiTheme="majorHAnsi" w:hAnsiTheme="majorHAnsi"/>
          <w:sz w:val="20"/>
          <w:szCs w:val="20"/>
        </w:rPr>
        <w:t xml:space="preserve">. </w:t>
      </w:r>
    </w:p>
    <w:p w:rsidR="009A2A3A" w:rsidRPr="000126E4" w:rsidRDefault="009A2A3A" w:rsidP="009A2A3A">
      <w:pPr>
        <w:jc w:val="both"/>
        <w:rPr>
          <w:rFonts w:asciiTheme="majorHAnsi" w:hAnsiTheme="majorHAnsi"/>
        </w:rPr>
      </w:pPr>
      <w:r w:rsidRPr="009A2A3A">
        <w:rPr>
          <w:rFonts w:asciiTheme="majorHAnsi" w:hAnsiTheme="majorHAnsi"/>
          <w:vertAlign w:val="superscript"/>
        </w:rPr>
        <w:t>2</w:t>
      </w:r>
      <w:r>
        <w:rPr>
          <w:rFonts w:asciiTheme="majorHAnsi" w:hAnsiTheme="majorHAnsi"/>
        </w:rPr>
        <w:t xml:space="preserve"> </w:t>
      </w:r>
      <w:r w:rsidR="006A608C" w:rsidRPr="006A608C">
        <w:rPr>
          <w:rFonts w:asciiTheme="majorHAnsi" w:hAnsiTheme="majorHAnsi"/>
          <w:sz w:val="20"/>
          <w:szCs w:val="20"/>
        </w:rPr>
        <w:t xml:space="preserve">Numbers based on Reuters data base. </w:t>
      </w:r>
      <w:r w:rsidR="003867F7" w:rsidRPr="003867F7">
        <w:rPr>
          <w:rFonts w:asciiTheme="majorHAnsi" w:hAnsiTheme="majorHAnsi"/>
          <w:sz w:val="20"/>
          <w:szCs w:val="20"/>
        </w:rPr>
        <w:t xml:space="preserve">Data for UK represents </w:t>
      </w:r>
      <w:r w:rsidRPr="009A2A3A">
        <w:rPr>
          <w:rFonts w:asciiTheme="majorHAnsi" w:hAnsiTheme="majorHAnsi"/>
          <w:sz w:val="20"/>
          <w:szCs w:val="20"/>
        </w:rPr>
        <w:t>10Y Bond</w:t>
      </w:r>
      <w:r w:rsidR="003867F7">
        <w:rPr>
          <w:rFonts w:asciiTheme="majorHAnsi" w:hAnsiTheme="majorHAnsi"/>
          <w:sz w:val="20"/>
          <w:szCs w:val="20"/>
        </w:rPr>
        <w:t xml:space="preserve"> </w:t>
      </w:r>
      <w:r w:rsidR="003867F7" w:rsidRPr="003867F7">
        <w:rPr>
          <w:rFonts w:asciiTheme="majorHAnsi" w:hAnsiTheme="majorHAnsi"/>
          <w:sz w:val="20"/>
          <w:szCs w:val="20"/>
        </w:rPr>
        <w:t>yield</w:t>
      </w:r>
      <w:r w:rsidRPr="009A2A3A">
        <w:rPr>
          <w:rFonts w:asciiTheme="majorHAnsi" w:hAnsiTheme="majorHAnsi"/>
          <w:sz w:val="20"/>
          <w:szCs w:val="20"/>
        </w:rPr>
        <w:t xml:space="preserve"> denominated in pounds</w:t>
      </w:r>
      <w:r w:rsidR="003867F7">
        <w:rPr>
          <w:rFonts w:asciiTheme="majorHAnsi" w:hAnsiTheme="majorHAnsi"/>
          <w:sz w:val="20"/>
          <w:szCs w:val="20"/>
        </w:rPr>
        <w:t xml:space="preserve">. </w:t>
      </w:r>
      <w:r w:rsidRPr="009A2A3A">
        <w:rPr>
          <w:rFonts w:asciiTheme="majorHAnsi" w:hAnsiTheme="majorHAnsi"/>
          <w:sz w:val="20"/>
          <w:szCs w:val="20"/>
        </w:rPr>
        <w:t>Due to lack of data figures for DK, HR and LU are assumed at level of 2,50.</w:t>
      </w:r>
    </w:p>
    <w:p w:rsidR="009A2A3A" w:rsidRPr="000126E4" w:rsidRDefault="009A2A3A">
      <w:pPr>
        <w:spacing w:before="120"/>
        <w:jc w:val="both"/>
        <w:rPr>
          <w:rFonts w:asciiTheme="majorHAnsi" w:hAnsiTheme="majorHAnsi"/>
        </w:rPr>
      </w:pPr>
    </w:p>
    <w:sectPr w:rsidR="009A2A3A" w:rsidRPr="000126E4" w:rsidSect="00245F82">
      <w:headerReference w:type="first" r:id="rId13"/>
      <w:pgSz w:w="16838" w:h="11906" w:orient="landscape"/>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BB7E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4B" w:rsidRDefault="0027744B" w:rsidP="000505DF">
      <w:r>
        <w:separator/>
      </w:r>
    </w:p>
  </w:endnote>
  <w:endnote w:type="continuationSeparator" w:id="0">
    <w:p w:rsidR="0027744B" w:rsidRDefault="0027744B" w:rsidP="0005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353521"/>
      <w:docPartObj>
        <w:docPartGallery w:val="Page Numbers (Bottom of Page)"/>
        <w:docPartUnique/>
      </w:docPartObj>
    </w:sdtPr>
    <w:sdtEndPr/>
    <w:sdtContent>
      <w:p w:rsidR="00FD0ADC" w:rsidRDefault="00FD0ADC">
        <w:pPr>
          <w:pStyle w:val="Stopka"/>
          <w:jc w:val="right"/>
        </w:pPr>
        <w:r>
          <w:fldChar w:fldCharType="begin"/>
        </w:r>
        <w:r>
          <w:instrText>PAGE   \* MERGEFORMAT</w:instrText>
        </w:r>
        <w:r>
          <w:fldChar w:fldCharType="separate"/>
        </w:r>
        <w:r w:rsidR="005F4D92" w:rsidRPr="005F4D92">
          <w:rPr>
            <w:noProof/>
            <w:lang w:val="pl-PL"/>
          </w:rPr>
          <w:t>2</w:t>
        </w:r>
        <w:r>
          <w:fldChar w:fldCharType="end"/>
        </w:r>
      </w:p>
    </w:sdtContent>
  </w:sdt>
  <w:p w:rsidR="00FD0ADC" w:rsidRDefault="00FD0A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ADC" w:rsidRDefault="00FD0ADC" w:rsidP="00245F82">
    <w:pPr>
      <w:pStyle w:val="Stopka"/>
      <w:tabs>
        <w:tab w:val="clear" w:pos="4536"/>
        <w:tab w:val="clear" w:pos="9072"/>
        <w:tab w:val="left" w:pos="112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4B" w:rsidRDefault="0027744B" w:rsidP="000505DF">
      <w:r>
        <w:separator/>
      </w:r>
    </w:p>
  </w:footnote>
  <w:footnote w:type="continuationSeparator" w:id="0">
    <w:p w:rsidR="0027744B" w:rsidRDefault="0027744B" w:rsidP="000505DF">
      <w:r>
        <w:continuationSeparator/>
      </w:r>
    </w:p>
  </w:footnote>
  <w:footnote w:id="1">
    <w:p w:rsidR="00FD0ADC" w:rsidRPr="00E950BD" w:rsidRDefault="00FD0ADC" w:rsidP="00C30AE7">
      <w:pPr>
        <w:pStyle w:val="Tekstprzypisudolnego"/>
        <w:jc w:val="both"/>
        <w:rPr>
          <w:lang w:val="en-US"/>
        </w:rPr>
      </w:pPr>
      <w:r>
        <w:rPr>
          <w:rStyle w:val="Odwoanieprzypisudolnego"/>
        </w:rPr>
        <w:footnoteRef/>
      </w:r>
      <w:r w:rsidRPr="00E950BD">
        <w:rPr>
          <w:lang w:val="en-US"/>
        </w:rPr>
        <w:t xml:space="preserve"> </w:t>
      </w:r>
      <w:r>
        <w:rPr>
          <w:rFonts w:eastAsia="Times New Roman" w:cstheme="minorHAnsi"/>
          <w:lang w:val="en" w:eastAsia="en-GB"/>
        </w:rPr>
        <w:t>This legal base was used for establishment of the European Investment Fund within the EIB Group and could apply to EFI.</w:t>
      </w:r>
    </w:p>
  </w:footnote>
  <w:footnote w:id="2">
    <w:p w:rsidR="00FD0ADC" w:rsidRPr="00245F82" w:rsidRDefault="00FD0ADC" w:rsidP="003935DA">
      <w:pPr>
        <w:pStyle w:val="Tekstprzypisudolnego"/>
        <w:jc w:val="both"/>
        <w:rPr>
          <w:lang w:val="en-GB"/>
        </w:rPr>
      </w:pPr>
      <w:r>
        <w:rPr>
          <w:rStyle w:val="Odwoanieprzypisudolnego"/>
        </w:rPr>
        <w:footnoteRef/>
      </w:r>
      <w:r w:rsidRPr="00245F82">
        <w:rPr>
          <w:lang w:val="en-GB"/>
        </w:rPr>
        <w:t xml:space="preserve"> </w:t>
      </w:r>
      <w:r>
        <w:rPr>
          <w:lang w:val="en-GB"/>
        </w:rPr>
        <w:t xml:space="preserve">Including </w:t>
      </w:r>
      <w:r w:rsidRPr="00EF1BA5">
        <w:rPr>
          <w:lang w:val="en-US"/>
        </w:rPr>
        <w:t>Eurostat decision of 31 Ja</w:t>
      </w:r>
      <w:r>
        <w:rPr>
          <w:lang w:val="en-US"/>
        </w:rPr>
        <w:t>nuary 2013 on deficit and debt</w:t>
      </w:r>
      <w:r w:rsidRPr="00EF1BA5">
        <w:rPr>
          <w:lang w:val="en-US"/>
        </w:rPr>
        <w:t xml:space="preserve"> statistical classification of the ESM</w:t>
      </w:r>
      <w:r>
        <w:rPr>
          <w:lang w:val="en-US"/>
        </w:rPr>
        <w:t>.</w:t>
      </w:r>
    </w:p>
  </w:footnote>
  <w:footnote w:id="3">
    <w:p w:rsidR="00FD0ADC" w:rsidRPr="003935DA" w:rsidRDefault="00FD0ADC" w:rsidP="003935DA">
      <w:pPr>
        <w:pStyle w:val="Tekstprzypisudolnego"/>
        <w:jc w:val="both"/>
        <w:rPr>
          <w:lang w:val="en-GB"/>
        </w:rPr>
      </w:pPr>
      <w:r>
        <w:rPr>
          <w:rStyle w:val="Odwoanieprzypisudolnego"/>
        </w:rPr>
        <w:footnoteRef/>
      </w:r>
      <w:r w:rsidRPr="003935DA">
        <w:rPr>
          <w:lang w:val="en-GB"/>
        </w:rPr>
        <w:t xml:space="preserve"> </w:t>
      </w:r>
      <w:r>
        <w:rPr>
          <w:lang w:val="en-GB"/>
        </w:rPr>
        <w:t xml:space="preserve">We base on an assumption that the </w:t>
      </w:r>
      <w:r w:rsidRPr="003935DA">
        <w:rPr>
          <w:lang w:val="en-GB"/>
        </w:rPr>
        <w:t xml:space="preserve">EFI’s </w:t>
      </w:r>
      <w:r w:rsidRPr="00934993">
        <w:rPr>
          <w:lang w:val="en-GB"/>
        </w:rPr>
        <w:t xml:space="preserve">paid-in capital </w:t>
      </w:r>
      <w:r>
        <w:rPr>
          <w:lang w:val="en-GB"/>
        </w:rPr>
        <w:t xml:space="preserve">to its </w:t>
      </w:r>
      <w:r w:rsidRPr="003935DA">
        <w:rPr>
          <w:lang w:val="en-GB"/>
        </w:rPr>
        <w:t xml:space="preserve">investment capacity ratio </w:t>
      </w:r>
      <w:r>
        <w:rPr>
          <w:lang w:val="en-GB"/>
        </w:rPr>
        <w:t xml:space="preserve">is 15%, similarly to the ESM’s paid-in capital to its lending capacity ratio. Assuming the EFI’s investment potential at 700 </w:t>
      </w:r>
      <w:proofErr w:type="spellStart"/>
      <w:r>
        <w:rPr>
          <w:lang w:val="en-GB"/>
        </w:rPr>
        <w:t>bn</w:t>
      </w:r>
      <w:proofErr w:type="spellEnd"/>
      <w:r>
        <w:rPr>
          <w:lang w:val="en-GB"/>
        </w:rPr>
        <w:t xml:space="preserve"> euro, its paid-in capital would amount to 105 </w:t>
      </w:r>
      <w:proofErr w:type="spellStart"/>
      <w:r>
        <w:rPr>
          <w:lang w:val="en-GB"/>
        </w:rPr>
        <w:t>bn</w:t>
      </w:r>
      <w:proofErr w:type="spellEnd"/>
      <w:r>
        <w:rPr>
          <w:lang w:val="en-GB"/>
        </w:rPr>
        <w:t xml:space="preserve">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ADC" w:rsidRPr="009F7344" w:rsidRDefault="00FD0ADC" w:rsidP="008E5AEE">
    <w:pPr>
      <w:pStyle w:val="Nagwek"/>
      <w:rPr>
        <w:b/>
        <w:sz w:val="28"/>
        <w:szCs w:val="28"/>
      </w:rPr>
    </w:pPr>
    <w:r w:rsidRPr="009F7344">
      <w:rPr>
        <w:b/>
        <w:sz w:val="28"/>
        <w:szCs w:val="28"/>
      </w:rPr>
      <w:t>European Fund for Investment</w:t>
    </w:r>
  </w:p>
  <w:p w:rsidR="00FD0ADC" w:rsidRPr="009F7344" w:rsidRDefault="00FD0ADC" w:rsidP="008E5AEE">
    <w:pPr>
      <w:pStyle w:val="Nagwek"/>
      <w:rPr>
        <w:b/>
      </w:rPr>
    </w:pPr>
    <w:proofErr w:type="spellStart"/>
    <w:r>
      <w:rPr>
        <w:b/>
      </w:rPr>
      <w:t>Mobilising</w:t>
    </w:r>
    <w:proofErr w:type="spellEnd"/>
    <w:r>
      <w:rPr>
        <w:b/>
      </w:rPr>
      <w:t xml:space="preserve"> private saving for reviving investment, growth and jobs in Europe</w:t>
    </w:r>
  </w:p>
  <w:p w:rsidR="00FD0ADC" w:rsidRDefault="00FD0ADC" w:rsidP="00245F82">
    <w:pPr>
      <w:pStyle w:val="Nagwek"/>
      <w:jc w:val="both"/>
      <w:rPr>
        <w:b/>
        <w:sz w:val="28"/>
        <w:szCs w:val="28"/>
      </w:rPr>
    </w:pPr>
  </w:p>
  <w:p w:rsidR="00FD0ADC" w:rsidRDefault="00FD0A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ADC" w:rsidRPr="008210FE" w:rsidRDefault="00FD0ADC" w:rsidP="000369F3">
    <w:pPr>
      <w:pStyle w:val="Nagwek"/>
      <w:ind w:left="993" w:hanging="993"/>
      <w:jc w:val="both"/>
      <w:rPr>
        <w:b/>
        <w:sz w:val="28"/>
        <w:szCs w:val="28"/>
      </w:rPr>
    </w:pPr>
    <w:r>
      <w:rPr>
        <w:b/>
        <w:lang w:val="en-GB"/>
      </w:rPr>
      <w:t>Table 1.</w:t>
    </w:r>
    <w:r w:rsidRPr="003E1B8F">
      <w:rPr>
        <w:b/>
        <w:lang w:val="en-GB"/>
      </w:rPr>
      <w:t xml:space="preserve"> </w:t>
    </w:r>
    <w:r>
      <w:rPr>
        <w:b/>
        <w:lang w:val="en-GB"/>
      </w:rPr>
      <w:t>S</w:t>
    </w:r>
    <w:r w:rsidRPr="003E1B8F">
      <w:rPr>
        <w:b/>
        <w:lang w:val="en-GB"/>
      </w:rPr>
      <w:t xml:space="preserve">ize and financing cost of EFI contribution by country </w:t>
    </w:r>
    <w:r>
      <w:rPr>
        <w:b/>
        <w:lang w:val="en-GB"/>
      </w:rPr>
      <w:t xml:space="preserve">based on the </w:t>
    </w:r>
    <w:r w:rsidRPr="003E1B8F">
      <w:rPr>
        <w:b/>
        <w:lang w:val="en-GB"/>
      </w:rPr>
      <w:t>E</w:t>
    </w:r>
    <w:r>
      <w:rPr>
        <w:b/>
        <w:lang w:val="en-GB"/>
      </w:rPr>
      <w:t>SM</w:t>
    </w:r>
    <w:r w:rsidRPr="003E1B8F">
      <w:rPr>
        <w:b/>
        <w:lang w:val="en-GB"/>
      </w:rPr>
      <w:t xml:space="preserve"> </w:t>
    </w:r>
    <w:r>
      <w:rPr>
        <w:b/>
        <w:lang w:val="en-GB"/>
      </w:rPr>
      <w:t xml:space="preserve">contribution </w:t>
    </w:r>
    <w:r w:rsidRPr="003E1B8F">
      <w:rPr>
        <w:b/>
        <w:lang w:val="en-GB"/>
      </w:rPr>
      <w:t>key</w:t>
    </w:r>
    <w:r>
      <w:rPr>
        <w:b/>
        <w:lang w:val="en-GB"/>
      </w:rPr>
      <w:t xml:space="preserve"> (including temporary corrections) </w:t>
    </w:r>
  </w:p>
  <w:p w:rsidR="00FD0ADC" w:rsidRPr="008210FE" w:rsidRDefault="00FD0A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1471"/>
    <w:multiLevelType w:val="hybridMultilevel"/>
    <w:tmpl w:val="23B68980"/>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197F4455"/>
    <w:multiLevelType w:val="hybridMultilevel"/>
    <w:tmpl w:val="1088A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9D4687"/>
    <w:multiLevelType w:val="multilevel"/>
    <w:tmpl w:val="E628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AF039A"/>
    <w:multiLevelType w:val="hybridMultilevel"/>
    <w:tmpl w:val="D56E769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nsid w:val="4D1A369A"/>
    <w:multiLevelType w:val="hybridMultilevel"/>
    <w:tmpl w:val="95C4264C"/>
    <w:lvl w:ilvl="0" w:tplc="B71AFAF6">
      <w:start w:val="1"/>
      <w:numFmt w:val="decimal"/>
      <w:pStyle w:val="Nagwek3"/>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3"/>
  </w:num>
  <w:num w:numId="11">
    <w:abstractNumId w:val="0"/>
  </w:num>
  <w:num w:numId="12">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eusz Szczurek">
    <w15:presenceInfo w15:providerId="Windows Live" w15:userId="f7c84a198d1628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DF"/>
    <w:rsid w:val="0000441A"/>
    <w:rsid w:val="000126E4"/>
    <w:rsid w:val="000225D7"/>
    <w:rsid w:val="00023156"/>
    <w:rsid w:val="00030894"/>
    <w:rsid w:val="00032D33"/>
    <w:rsid w:val="000340CB"/>
    <w:rsid w:val="000369F3"/>
    <w:rsid w:val="000505DF"/>
    <w:rsid w:val="0005440B"/>
    <w:rsid w:val="000564AC"/>
    <w:rsid w:val="00062384"/>
    <w:rsid w:val="00087CDA"/>
    <w:rsid w:val="0009184E"/>
    <w:rsid w:val="000A038B"/>
    <w:rsid w:val="000A3EC9"/>
    <w:rsid w:val="000B3DEA"/>
    <w:rsid w:val="000C2187"/>
    <w:rsid w:val="000D0086"/>
    <w:rsid w:val="000E5B17"/>
    <w:rsid w:val="000E77AC"/>
    <w:rsid w:val="000F2F71"/>
    <w:rsid w:val="001038C7"/>
    <w:rsid w:val="00133836"/>
    <w:rsid w:val="00137181"/>
    <w:rsid w:val="00150C8A"/>
    <w:rsid w:val="001523AC"/>
    <w:rsid w:val="001663AE"/>
    <w:rsid w:val="00175438"/>
    <w:rsid w:val="00186CBF"/>
    <w:rsid w:val="001A459E"/>
    <w:rsid w:val="001B52B4"/>
    <w:rsid w:val="001C519B"/>
    <w:rsid w:val="001D0401"/>
    <w:rsid w:val="001D3361"/>
    <w:rsid w:val="001E33FD"/>
    <w:rsid w:val="00200D97"/>
    <w:rsid w:val="00205EC9"/>
    <w:rsid w:val="00207256"/>
    <w:rsid w:val="00207C16"/>
    <w:rsid w:val="00215F58"/>
    <w:rsid w:val="00221D7A"/>
    <w:rsid w:val="0022348E"/>
    <w:rsid w:val="00224964"/>
    <w:rsid w:val="002273C4"/>
    <w:rsid w:val="00245F82"/>
    <w:rsid w:val="002465A4"/>
    <w:rsid w:val="002473F3"/>
    <w:rsid w:val="0025646C"/>
    <w:rsid w:val="00260A8D"/>
    <w:rsid w:val="0027744B"/>
    <w:rsid w:val="00287041"/>
    <w:rsid w:val="0029289F"/>
    <w:rsid w:val="002B13BA"/>
    <w:rsid w:val="002D0F93"/>
    <w:rsid w:val="002D11B6"/>
    <w:rsid w:val="002E7555"/>
    <w:rsid w:val="002F43E5"/>
    <w:rsid w:val="003016D6"/>
    <w:rsid w:val="00325642"/>
    <w:rsid w:val="00347B71"/>
    <w:rsid w:val="00353CDD"/>
    <w:rsid w:val="0036418F"/>
    <w:rsid w:val="003867F7"/>
    <w:rsid w:val="003935DA"/>
    <w:rsid w:val="003B7208"/>
    <w:rsid w:val="003C103F"/>
    <w:rsid w:val="003C6619"/>
    <w:rsid w:val="003E1B8F"/>
    <w:rsid w:val="003E2818"/>
    <w:rsid w:val="003F2232"/>
    <w:rsid w:val="003F3C33"/>
    <w:rsid w:val="003F61D5"/>
    <w:rsid w:val="004009A0"/>
    <w:rsid w:val="004520EF"/>
    <w:rsid w:val="0046305F"/>
    <w:rsid w:val="00464D15"/>
    <w:rsid w:val="0048358E"/>
    <w:rsid w:val="00484250"/>
    <w:rsid w:val="00496568"/>
    <w:rsid w:val="004A2D95"/>
    <w:rsid w:val="004C144C"/>
    <w:rsid w:val="004C1993"/>
    <w:rsid w:val="004C7065"/>
    <w:rsid w:val="004F6B3B"/>
    <w:rsid w:val="00517CE3"/>
    <w:rsid w:val="00523B8B"/>
    <w:rsid w:val="005358C4"/>
    <w:rsid w:val="005369CE"/>
    <w:rsid w:val="005435D3"/>
    <w:rsid w:val="00547AE2"/>
    <w:rsid w:val="005524D9"/>
    <w:rsid w:val="00567163"/>
    <w:rsid w:val="00573D9A"/>
    <w:rsid w:val="005742D2"/>
    <w:rsid w:val="00580ED4"/>
    <w:rsid w:val="00587169"/>
    <w:rsid w:val="005B3B3D"/>
    <w:rsid w:val="005C50F2"/>
    <w:rsid w:val="005D126E"/>
    <w:rsid w:val="005D2117"/>
    <w:rsid w:val="005E31B7"/>
    <w:rsid w:val="005E48D3"/>
    <w:rsid w:val="005F4D92"/>
    <w:rsid w:val="0061464C"/>
    <w:rsid w:val="0062262C"/>
    <w:rsid w:val="00644047"/>
    <w:rsid w:val="00664E54"/>
    <w:rsid w:val="00687D8B"/>
    <w:rsid w:val="00694BC4"/>
    <w:rsid w:val="006A1473"/>
    <w:rsid w:val="006A20FC"/>
    <w:rsid w:val="006A608C"/>
    <w:rsid w:val="006A693A"/>
    <w:rsid w:val="006B15FA"/>
    <w:rsid w:val="006B336B"/>
    <w:rsid w:val="006C1DB1"/>
    <w:rsid w:val="006C3EC5"/>
    <w:rsid w:val="006E05D0"/>
    <w:rsid w:val="006F3038"/>
    <w:rsid w:val="00704984"/>
    <w:rsid w:val="0071014C"/>
    <w:rsid w:val="00712E80"/>
    <w:rsid w:val="00734166"/>
    <w:rsid w:val="00735505"/>
    <w:rsid w:val="0073619F"/>
    <w:rsid w:val="007375EA"/>
    <w:rsid w:val="007465B3"/>
    <w:rsid w:val="00771675"/>
    <w:rsid w:val="00773854"/>
    <w:rsid w:val="00776127"/>
    <w:rsid w:val="0078159F"/>
    <w:rsid w:val="0079185C"/>
    <w:rsid w:val="007945F0"/>
    <w:rsid w:val="007B2A5C"/>
    <w:rsid w:val="007B5607"/>
    <w:rsid w:val="007C10CC"/>
    <w:rsid w:val="007D0E32"/>
    <w:rsid w:val="007D4F5A"/>
    <w:rsid w:val="007E4834"/>
    <w:rsid w:val="007F15DE"/>
    <w:rsid w:val="007F2E4A"/>
    <w:rsid w:val="007F4AAB"/>
    <w:rsid w:val="0080397E"/>
    <w:rsid w:val="00805A0D"/>
    <w:rsid w:val="00806DF6"/>
    <w:rsid w:val="008210FE"/>
    <w:rsid w:val="00826C65"/>
    <w:rsid w:val="00836576"/>
    <w:rsid w:val="00850FF3"/>
    <w:rsid w:val="00856F28"/>
    <w:rsid w:val="008674C7"/>
    <w:rsid w:val="008A740C"/>
    <w:rsid w:val="008D6230"/>
    <w:rsid w:val="008E5419"/>
    <w:rsid w:val="008E5AEE"/>
    <w:rsid w:val="00901848"/>
    <w:rsid w:val="0091731A"/>
    <w:rsid w:val="00924B3E"/>
    <w:rsid w:val="009257DA"/>
    <w:rsid w:val="00931E48"/>
    <w:rsid w:val="00934B1A"/>
    <w:rsid w:val="0094506E"/>
    <w:rsid w:val="00947E28"/>
    <w:rsid w:val="00951C35"/>
    <w:rsid w:val="0095422B"/>
    <w:rsid w:val="009A2A3A"/>
    <w:rsid w:val="009D3C65"/>
    <w:rsid w:val="009F3D9C"/>
    <w:rsid w:val="009F7344"/>
    <w:rsid w:val="00A2353B"/>
    <w:rsid w:val="00A30768"/>
    <w:rsid w:val="00A5110D"/>
    <w:rsid w:val="00A5628B"/>
    <w:rsid w:val="00A64F4F"/>
    <w:rsid w:val="00A6680A"/>
    <w:rsid w:val="00A75F81"/>
    <w:rsid w:val="00AB1742"/>
    <w:rsid w:val="00AC3348"/>
    <w:rsid w:val="00AD3C06"/>
    <w:rsid w:val="00AD7A8A"/>
    <w:rsid w:val="00AE1A3E"/>
    <w:rsid w:val="00AF61BE"/>
    <w:rsid w:val="00AF75B2"/>
    <w:rsid w:val="00B24370"/>
    <w:rsid w:val="00B25990"/>
    <w:rsid w:val="00B631E6"/>
    <w:rsid w:val="00B67B8B"/>
    <w:rsid w:val="00B711CC"/>
    <w:rsid w:val="00BA1013"/>
    <w:rsid w:val="00BB5804"/>
    <w:rsid w:val="00BB7037"/>
    <w:rsid w:val="00BD3F7E"/>
    <w:rsid w:val="00BE5F3C"/>
    <w:rsid w:val="00C06D46"/>
    <w:rsid w:val="00C150E6"/>
    <w:rsid w:val="00C15A0E"/>
    <w:rsid w:val="00C25318"/>
    <w:rsid w:val="00C30AE7"/>
    <w:rsid w:val="00C50EBF"/>
    <w:rsid w:val="00C62C63"/>
    <w:rsid w:val="00C70A3E"/>
    <w:rsid w:val="00C93608"/>
    <w:rsid w:val="00CA0F82"/>
    <w:rsid w:val="00CC10F1"/>
    <w:rsid w:val="00CD3238"/>
    <w:rsid w:val="00CF6DF8"/>
    <w:rsid w:val="00D05337"/>
    <w:rsid w:val="00D225B4"/>
    <w:rsid w:val="00D4006A"/>
    <w:rsid w:val="00D8783C"/>
    <w:rsid w:val="00DA0D81"/>
    <w:rsid w:val="00DC4769"/>
    <w:rsid w:val="00DD2337"/>
    <w:rsid w:val="00DE283A"/>
    <w:rsid w:val="00DE7E8A"/>
    <w:rsid w:val="00DF0E2A"/>
    <w:rsid w:val="00E03F31"/>
    <w:rsid w:val="00E06078"/>
    <w:rsid w:val="00E0690F"/>
    <w:rsid w:val="00E15DB4"/>
    <w:rsid w:val="00E17E1D"/>
    <w:rsid w:val="00E34D00"/>
    <w:rsid w:val="00E40118"/>
    <w:rsid w:val="00E40747"/>
    <w:rsid w:val="00E50038"/>
    <w:rsid w:val="00E5787D"/>
    <w:rsid w:val="00E74259"/>
    <w:rsid w:val="00E950BD"/>
    <w:rsid w:val="00E9665D"/>
    <w:rsid w:val="00EB0FEE"/>
    <w:rsid w:val="00EB3A5E"/>
    <w:rsid w:val="00EC4CAD"/>
    <w:rsid w:val="00EF1BA5"/>
    <w:rsid w:val="00EF488C"/>
    <w:rsid w:val="00EF710F"/>
    <w:rsid w:val="00F023E3"/>
    <w:rsid w:val="00F02448"/>
    <w:rsid w:val="00F0439E"/>
    <w:rsid w:val="00F054F9"/>
    <w:rsid w:val="00F11F45"/>
    <w:rsid w:val="00F13EFA"/>
    <w:rsid w:val="00F16A09"/>
    <w:rsid w:val="00F412B6"/>
    <w:rsid w:val="00F45BE1"/>
    <w:rsid w:val="00F55E11"/>
    <w:rsid w:val="00F60CED"/>
    <w:rsid w:val="00F65FA7"/>
    <w:rsid w:val="00F70BB1"/>
    <w:rsid w:val="00F85219"/>
    <w:rsid w:val="00F903B4"/>
    <w:rsid w:val="00F9302A"/>
    <w:rsid w:val="00F969CE"/>
    <w:rsid w:val="00FB6CDB"/>
    <w:rsid w:val="00FC6D81"/>
    <w:rsid w:val="00FD0AD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05DF"/>
    <w:pPr>
      <w:spacing w:after="0" w:line="240" w:lineRule="auto"/>
    </w:pPr>
    <w:rPr>
      <w:rFonts w:ascii="Cambria" w:eastAsia="Cambria" w:hAnsi="Cambria" w:cs="Times New Roman"/>
      <w:sz w:val="24"/>
      <w:szCs w:val="24"/>
      <w:lang w:val="en-US"/>
    </w:rPr>
  </w:style>
  <w:style w:type="paragraph" w:styleId="Nagwek3">
    <w:name w:val="heading 3"/>
    <w:basedOn w:val="Normalny"/>
    <w:next w:val="Normalny"/>
    <w:link w:val="Nagwek3Znak"/>
    <w:autoRedefine/>
    <w:uiPriority w:val="9"/>
    <w:unhideWhenUsed/>
    <w:qFormat/>
    <w:rsid w:val="000505DF"/>
    <w:pPr>
      <w:keepNext/>
      <w:numPr>
        <w:numId w:val="1"/>
      </w:numPr>
      <w:spacing w:before="200"/>
      <w:jc w:val="both"/>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505DF"/>
    <w:rPr>
      <w:sz w:val="16"/>
      <w:szCs w:val="16"/>
    </w:rPr>
  </w:style>
  <w:style w:type="paragraph" w:styleId="Tekstkomentarza">
    <w:name w:val="annotation text"/>
    <w:basedOn w:val="Normalny"/>
    <w:link w:val="TekstkomentarzaZnak"/>
    <w:uiPriority w:val="99"/>
    <w:unhideWhenUsed/>
    <w:rsid w:val="000505DF"/>
    <w:rPr>
      <w:sz w:val="20"/>
      <w:szCs w:val="20"/>
    </w:rPr>
  </w:style>
  <w:style w:type="character" w:customStyle="1" w:styleId="TekstkomentarzaZnak">
    <w:name w:val="Tekst komentarza Znak"/>
    <w:basedOn w:val="Domylnaczcionkaakapitu"/>
    <w:link w:val="Tekstkomentarza"/>
    <w:uiPriority w:val="99"/>
    <w:rsid w:val="000505DF"/>
    <w:rPr>
      <w:rFonts w:ascii="Cambria" w:eastAsia="Cambria" w:hAnsi="Cambria" w:cs="Times New Roman"/>
      <w:sz w:val="20"/>
      <w:szCs w:val="20"/>
      <w:lang w:val="en-US"/>
    </w:rPr>
  </w:style>
  <w:style w:type="paragraph" w:styleId="Tekstdymka">
    <w:name w:val="Balloon Text"/>
    <w:basedOn w:val="Normalny"/>
    <w:link w:val="TekstdymkaZnak"/>
    <w:uiPriority w:val="99"/>
    <w:semiHidden/>
    <w:unhideWhenUsed/>
    <w:rsid w:val="000505DF"/>
    <w:rPr>
      <w:rFonts w:ascii="Tahoma" w:hAnsi="Tahoma" w:cs="Tahoma"/>
      <w:sz w:val="16"/>
      <w:szCs w:val="16"/>
    </w:rPr>
  </w:style>
  <w:style w:type="character" w:customStyle="1" w:styleId="TekstdymkaZnak">
    <w:name w:val="Tekst dymka Znak"/>
    <w:basedOn w:val="Domylnaczcionkaakapitu"/>
    <w:link w:val="Tekstdymka"/>
    <w:uiPriority w:val="99"/>
    <w:semiHidden/>
    <w:rsid w:val="000505DF"/>
    <w:rPr>
      <w:rFonts w:ascii="Tahoma" w:eastAsia="Cambria" w:hAnsi="Tahoma" w:cs="Tahoma"/>
      <w:sz w:val="16"/>
      <w:szCs w:val="16"/>
      <w:lang w:val="en-US"/>
    </w:rPr>
  </w:style>
  <w:style w:type="paragraph" w:styleId="NormalnyWeb">
    <w:name w:val="Normal (Web)"/>
    <w:basedOn w:val="Normalny"/>
    <w:uiPriority w:val="99"/>
    <w:semiHidden/>
    <w:unhideWhenUsed/>
    <w:rsid w:val="000505DF"/>
    <w:pPr>
      <w:spacing w:before="100" w:beforeAutospacing="1" w:after="100" w:afterAutospacing="1"/>
    </w:pPr>
    <w:rPr>
      <w:rFonts w:ascii="Times New Roman" w:eastAsia="Times New Roman" w:hAnsi="Times New Roman"/>
      <w:lang w:val="pl-PL" w:eastAsia="pl-PL"/>
    </w:rPr>
  </w:style>
  <w:style w:type="character" w:styleId="Pogrubienie">
    <w:name w:val="Strong"/>
    <w:basedOn w:val="Domylnaczcionkaakapitu"/>
    <w:uiPriority w:val="22"/>
    <w:qFormat/>
    <w:rsid w:val="000505DF"/>
    <w:rPr>
      <w:b/>
      <w:bCs/>
    </w:rPr>
  </w:style>
  <w:style w:type="character" w:customStyle="1" w:styleId="Nagwek3Znak">
    <w:name w:val="Nagłówek 3 Znak"/>
    <w:basedOn w:val="Domylnaczcionkaakapitu"/>
    <w:link w:val="Nagwek3"/>
    <w:uiPriority w:val="9"/>
    <w:rsid w:val="000505DF"/>
    <w:rPr>
      <w:rFonts w:asciiTheme="majorHAnsi" w:eastAsiaTheme="majorEastAsia" w:hAnsiTheme="majorHAnsi" w:cstheme="majorBidi"/>
      <w:b/>
      <w:bCs/>
      <w:color w:val="4F81BD" w:themeColor="accent1"/>
      <w:sz w:val="24"/>
      <w:szCs w:val="24"/>
      <w:lang w:val="en-US"/>
    </w:rPr>
  </w:style>
  <w:style w:type="character" w:customStyle="1" w:styleId="hps">
    <w:name w:val="hps"/>
    <w:basedOn w:val="Domylnaczcionkaakapitu"/>
    <w:rsid w:val="000505DF"/>
  </w:style>
  <w:style w:type="paragraph" w:styleId="Nagwek">
    <w:name w:val="header"/>
    <w:basedOn w:val="Normalny"/>
    <w:link w:val="NagwekZnak"/>
    <w:uiPriority w:val="99"/>
    <w:unhideWhenUsed/>
    <w:rsid w:val="000505DF"/>
    <w:pPr>
      <w:tabs>
        <w:tab w:val="center" w:pos="4536"/>
        <w:tab w:val="right" w:pos="9072"/>
      </w:tabs>
    </w:pPr>
  </w:style>
  <w:style w:type="character" w:customStyle="1" w:styleId="NagwekZnak">
    <w:name w:val="Nagłówek Znak"/>
    <w:basedOn w:val="Domylnaczcionkaakapitu"/>
    <w:link w:val="Nagwek"/>
    <w:uiPriority w:val="99"/>
    <w:rsid w:val="000505DF"/>
    <w:rPr>
      <w:rFonts w:ascii="Cambria" w:eastAsia="Cambria" w:hAnsi="Cambria" w:cs="Times New Roman"/>
      <w:sz w:val="24"/>
      <w:szCs w:val="24"/>
      <w:lang w:val="en-US"/>
    </w:rPr>
  </w:style>
  <w:style w:type="paragraph" w:styleId="Stopka">
    <w:name w:val="footer"/>
    <w:basedOn w:val="Normalny"/>
    <w:link w:val="StopkaZnak"/>
    <w:uiPriority w:val="99"/>
    <w:unhideWhenUsed/>
    <w:rsid w:val="000505DF"/>
    <w:pPr>
      <w:tabs>
        <w:tab w:val="center" w:pos="4536"/>
        <w:tab w:val="right" w:pos="9072"/>
      </w:tabs>
    </w:pPr>
  </w:style>
  <w:style w:type="character" w:customStyle="1" w:styleId="StopkaZnak">
    <w:name w:val="Stopka Znak"/>
    <w:basedOn w:val="Domylnaczcionkaakapitu"/>
    <w:link w:val="Stopka"/>
    <w:uiPriority w:val="99"/>
    <w:rsid w:val="000505DF"/>
    <w:rPr>
      <w:rFonts w:ascii="Cambria" w:eastAsia="Cambria" w:hAnsi="Cambria" w:cs="Times New Roman"/>
      <w:sz w:val="24"/>
      <w:szCs w:val="24"/>
      <w:lang w:val="en-US"/>
    </w:rPr>
  </w:style>
  <w:style w:type="paragraph" w:styleId="Akapitzlist">
    <w:name w:val="List Paragraph"/>
    <w:aliases w:val="Listaszerű bekezdés1,List Paragraph à moi,Recommendation,List Paragraph11,Kolorowa lista — akcent 11,Numerowanie"/>
    <w:basedOn w:val="Normalny"/>
    <w:uiPriority w:val="34"/>
    <w:qFormat/>
    <w:rsid w:val="009F7344"/>
    <w:pPr>
      <w:ind w:left="720"/>
    </w:pPr>
    <w:rPr>
      <w:rFonts w:ascii="Calibri" w:eastAsiaTheme="minorHAnsi" w:hAnsi="Calibri"/>
      <w:sz w:val="22"/>
      <w:szCs w:val="22"/>
      <w:lang w:val="pl-PL"/>
    </w:rPr>
  </w:style>
  <w:style w:type="paragraph" w:styleId="Tekstprzypisudolnego">
    <w:name w:val="footnote text"/>
    <w:basedOn w:val="Normalny"/>
    <w:link w:val="TekstprzypisudolnegoZnak"/>
    <w:uiPriority w:val="99"/>
    <w:semiHidden/>
    <w:unhideWhenUsed/>
    <w:rsid w:val="00EB0FEE"/>
    <w:rPr>
      <w:rFonts w:eastAsiaTheme="minorHAnsi"/>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EB0FEE"/>
    <w:rPr>
      <w:rFonts w:ascii="Cambria" w:hAnsi="Cambria" w:cs="Times New Roman"/>
      <w:sz w:val="20"/>
      <w:szCs w:val="20"/>
      <w:lang w:eastAsia="pl-PL"/>
    </w:rPr>
  </w:style>
  <w:style w:type="character" w:styleId="Odwoanieprzypisudolnego">
    <w:name w:val="footnote reference"/>
    <w:basedOn w:val="Domylnaczcionkaakapitu"/>
    <w:uiPriority w:val="99"/>
    <w:semiHidden/>
    <w:unhideWhenUsed/>
    <w:rsid w:val="00EB0FEE"/>
    <w:rPr>
      <w:vertAlign w:val="superscript"/>
    </w:rPr>
  </w:style>
  <w:style w:type="paragraph" w:styleId="Legenda">
    <w:name w:val="caption"/>
    <w:basedOn w:val="Normalny"/>
    <w:next w:val="Normalny"/>
    <w:uiPriority w:val="35"/>
    <w:unhideWhenUsed/>
    <w:qFormat/>
    <w:rsid w:val="00EB0FEE"/>
    <w:pPr>
      <w:spacing w:after="200"/>
    </w:pPr>
    <w:rPr>
      <w:b/>
      <w:bCs/>
      <w:color w:val="4F81BD" w:themeColor="accent1"/>
      <w:sz w:val="18"/>
      <w:szCs w:val="18"/>
    </w:rPr>
  </w:style>
  <w:style w:type="character" w:customStyle="1" w:styleId="atn">
    <w:name w:val="atn"/>
    <w:basedOn w:val="Domylnaczcionkaakapitu"/>
    <w:rsid w:val="006C3EC5"/>
  </w:style>
  <w:style w:type="character" w:customStyle="1" w:styleId="shorttext">
    <w:name w:val="short_text"/>
    <w:basedOn w:val="Domylnaczcionkaakapitu"/>
    <w:rsid w:val="00BB7037"/>
  </w:style>
  <w:style w:type="paragraph" w:styleId="Tematkomentarza">
    <w:name w:val="annotation subject"/>
    <w:basedOn w:val="Tekstkomentarza"/>
    <w:next w:val="Tekstkomentarza"/>
    <w:link w:val="TematkomentarzaZnak"/>
    <w:uiPriority w:val="99"/>
    <w:semiHidden/>
    <w:unhideWhenUsed/>
    <w:rsid w:val="00826C65"/>
    <w:rPr>
      <w:b/>
      <w:bCs/>
    </w:rPr>
  </w:style>
  <w:style w:type="character" w:customStyle="1" w:styleId="TematkomentarzaZnak">
    <w:name w:val="Temat komentarza Znak"/>
    <w:basedOn w:val="TekstkomentarzaZnak"/>
    <w:link w:val="Tematkomentarza"/>
    <w:uiPriority w:val="99"/>
    <w:semiHidden/>
    <w:rsid w:val="00826C65"/>
    <w:rPr>
      <w:rFonts w:ascii="Cambria" w:eastAsia="Cambria" w:hAnsi="Cambria" w:cs="Times New Roman"/>
      <w:b/>
      <w:bCs/>
      <w:sz w:val="20"/>
      <w:szCs w:val="20"/>
      <w:lang w:val="en-US"/>
    </w:rPr>
  </w:style>
  <w:style w:type="paragraph" w:styleId="Poprawka">
    <w:name w:val="Revision"/>
    <w:hidden/>
    <w:uiPriority w:val="99"/>
    <w:semiHidden/>
    <w:rsid w:val="00850FF3"/>
    <w:pPr>
      <w:spacing w:after="0" w:line="240" w:lineRule="auto"/>
    </w:pPr>
    <w:rPr>
      <w:rFonts w:ascii="Cambria" w:eastAsia="Cambria" w:hAnsi="Cambria" w:cs="Times New Roman"/>
      <w:sz w:val="24"/>
      <w:szCs w:val="24"/>
      <w:lang w:val="en-US"/>
    </w:rPr>
  </w:style>
  <w:style w:type="paragraph" w:styleId="Tekstprzypisukocowego">
    <w:name w:val="endnote text"/>
    <w:basedOn w:val="Normalny"/>
    <w:link w:val="TekstprzypisukocowegoZnak"/>
    <w:uiPriority w:val="99"/>
    <w:semiHidden/>
    <w:unhideWhenUsed/>
    <w:rsid w:val="00EF1BA5"/>
    <w:rPr>
      <w:sz w:val="20"/>
      <w:szCs w:val="20"/>
    </w:rPr>
  </w:style>
  <w:style w:type="character" w:customStyle="1" w:styleId="TekstprzypisukocowegoZnak">
    <w:name w:val="Tekst przypisu końcowego Znak"/>
    <w:basedOn w:val="Domylnaczcionkaakapitu"/>
    <w:link w:val="Tekstprzypisukocowego"/>
    <w:uiPriority w:val="99"/>
    <w:semiHidden/>
    <w:rsid w:val="00EF1BA5"/>
    <w:rPr>
      <w:rFonts w:ascii="Cambria" w:eastAsia="Cambria" w:hAnsi="Cambria" w:cs="Times New Roman"/>
      <w:sz w:val="20"/>
      <w:szCs w:val="20"/>
      <w:lang w:val="en-US"/>
    </w:rPr>
  </w:style>
  <w:style w:type="character" w:styleId="Odwoanieprzypisukocowego">
    <w:name w:val="endnote reference"/>
    <w:basedOn w:val="Domylnaczcionkaakapitu"/>
    <w:uiPriority w:val="99"/>
    <w:semiHidden/>
    <w:unhideWhenUsed/>
    <w:rsid w:val="00EF1BA5"/>
    <w:rPr>
      <w:vertAlign w:val="superscript"/>
    </w:rPr>
  </w:style>
  <w:style w:type="character" w:customStyle="1" w:styleId="highlight">
    <w:name w:val="highlight"/>
    <w:basedOn w:val="Domylnaczcionkaakapitu"/>
    <w:rsid w:val="00F11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05DF"/>
    <w:pPr>
      <w:spacing w:after="0" w:line="240" w:lineRule="auto"/>
    </w:pPr>
    <w:rPr>
      <w:rFonts w:ascii="Cambria" w:eastAsia="Cambria" w:hAnsi="Cambria" w:cs="Times New Roman"/>
      <w:sz w:val="24"/>
      <w:szCs w:val="24"/>
      <w:lang w:val="en-US"/>
    </w:rPr>
  </w:style>
  <w:style w:type="paragraph" w:styleId="Nagwek3">
    <w:name w:val="heading 3"/>
    <w:basedOn w:val="Normalny"/>
    <w:next w:val="Normalny"/>
    <w:link w:val="Nagwek3Znak"/>
    <w:autoRedefine/>
    <w:uiPriority w:val="9"/>
    <w:unhideWhenUsed/>
    <w:qFormat/>
    <w:rsid w:val="000505DF"/>
    <w:pPr>
      <w:keepNext/>
      <w:numPr>
        <w:numId w:val="1"/>
      </w:numPr>
      <w:spacing w:before="200"/>
      <w:jc w:val="both"/>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505DF"/>
    <w:rPr>
      <w:sz w:val="16"/>
      <w:szCs w:val="16"/>
    </w:rPr>
  </w:style>
  <w:style w:type="paragraph" w:styleId="Tekstkomentarza">
    <w:name w:val="annotation text"/>
    <w:basedOn w:val="Normalny"/>
    <w:link w:val="TekstkomentarzaZnak"/>
    <w:uiPriority w:val="99"/>
    <w:unhideWhenUsed/>
    <w:rsid w:val="000505DF"/>
    <w:rPr>
      <w:sz w:val="20"/>
      <w:szCs w:val="20"/>
    </w:rPr>
  </w:style>
  <w:style w:type="character" w:customStyle="1" w:styleId="TekstkomentarzaZnak">
    <w:name w:val="Tekst komentarza Znak"/>
    <w:basedOn w:val="Domylnaczcionkaakapitu"/>
    <w:link w:val="Tekstkomentarza"/>
    <w:uiPriority w:val="99"/>
    <w:rsid w:val="000505DF"/>
    <w:rPr>
      <w:rFonts w:ascii="Cambria" w:eastAsia="Cambria" w:hAnsi="Cambria" w:cs="Times New Roman"/>
      <w:sz w:val="20"/>
      <w:szCs w:val="20"/>
      <w:lang w:val="en-US"/>
    </w:rPr>
  </w:style>
  <w:style w:type="paragraph" w:styleId="Tekstdymka">
    <w:name w:val="Balloon Text"/>
    <w:basedOn w:val="Normalny"/>
    <w:link w:val="TekstdymkaZnak"/>
    <w:uiPriority w:val="99"/>
    <w:semiHidden/>
    <w:unhideWhenUsed/>
    <w:rsid w:val="000505DF"/>
    <w:rPr>
      <w:rFonts w:ascii="Tahoma" w:hAnsi="Tahoma" w:cs="Tahoma"/>
      <w:sz w:val="16"/>
      <w:szCs w:val="16"/>
    </w:rPr>
  </w:style>
  <w:style w:type="character" w:customStyle="1" w:styleId="TekstdymkaZnak">
    <w:name w:val="Tekst dymka Znak"/>
    <w:basedOn w:val="Domylnaczcionkaakapitu"/>
    <w:link w:val="Tekstdymka"/>
    <w:uiPriority w:val="99"/>
    <w:semiHidden/>
    <w:rsid w:val="000505DF"/>
    <w:rPr>
      <w:rFonts w:ascii="Tahoma" w:eastAsia="Cambria" w:hAnsi="Tahoma" w:cs="Tahoma"/>
      <w:sz w:val="16"/>
      <w:szCs w:val="16"/>
      <w:lang w:val="en-US"/>
    </w:rPr>
  </w:style>
  <w:style w:type="paragraph" w:styleId="NormalnyWeb">
    <w:name w:val="Normal (Web)"/>
    <w:basedOn w:val="Normalny"/>
    <w:uiPriority w:val="99"/>
    <w:semiHidden/>
    <w:unhideWhenUsed/>
    <w:rsid w:val="000505DF"/>
    <w:pPr>
      <w:spacing w:before="100" w:beforeAutospacing="1" w:after="100" w:afterAutospacing="1"/>
    </w:pPr>
    <w:rPr>
      <w:rFonts w:ascii="Times New Roman" w:eastAsia="Times New Roman" w:hAnsi="Times New Roman"/>
      <w:lang w:val="pl-PL" w:eastAsia="pl-PL"/>
    </w:rPr>
  </w:style>
  <w:style w:type="character" w:styleId="Pogrubienie">
    <w:name w:val="Strong"/>
    <w:basedOn w:val="Domylnaczcionkaakapitu"/>
    <w:uiPriority w:val="22"/>
    <w:qFormat/>
    <w:rsid w:val="000505DF"/>
    <w:rPr>
      <w:b/>
      <w:bCs/>
    </w:rPr>
  </w:style>
  <w:style w:type="character" w:customStyle="1" w:styleId="Nagwek3Znak">
    <w:name w:val="Nagłówek 3 Znak"/>
    <w:basedOn w:val="Domylnaczcionkaakapitu"/>
    <w:link w:val="Nagwek3"/>
    <w:uiPriority w:val="9"/>
    <w:rsid w:val="000505DF"/>
    <w:rPr>
      <w:rFonts w:asciiTheme="majorHAnsi" w:eastAsiaTheme="majorEastAsia" w:hAnsiTheme="majorHAnsi" w:cstheme="majorBidi"/>
      <w:b/>
      <w:bCs/>
      <w:color w:val="4F81BD" w:themeColor="accent1"/>
      <w:sz w:val="24"/>
      <w:szCs w:val="24"/>
      <w:lang w:val="en-US"/>
    </w:rPr>
  </w:style>
  <w:style w:type="character" w:customStyle="1" w:styleId="hps">
    <w:name w:val="hps"/>
    <w:basedOn w:val="Domylnaczcionkaakapitu"/>
    <w:rsid w:val="000505DF"/>
  </w:style>
  <w:style w:type="paragraph" w:styleId="Nagwek">
    <w:name w:val="header"/>
    <w:basedOn w:val="Normalny"/>
    <w:link w:val="NagwekZnak"/>
    <w:uiPriority w:val="99"/>
    <w:unhideWhenUsed/>
    <w:rsid w:val="000505DF"/>
    <w:pPr>
      <w:tabs>
        <w:tab w:val="center" w:pos="4536"/>
        <w:tab w:val="right" w:pos="9072"/>
      </w:tabs>
    </w:pPr>
  </w:style>
  <w:style w:type="character" w:customStyle="1" w:styleId="NagwekZnak">
    <w:name w:val="Nagłówek Znak"/>
    <w:basedOn w:val="Domylnaczcionkaakapitu"/>
    <w:link w:val="Nagwek"/>
    <w:uiPriority w:val="99"/>
    <w:rsid w:val="000505DF"/>
    <w:rPr>
      <w:rFonts w:ascii="Cambria" w:eastAsia="Cambria" w:hAnsi="Cambria" w:cs="Times New Roman"/>
      <w:sz w:val="24"/>
      <w:szCs w:val="24"/>
      <w:lang w:val="en-US"/>
    </w:rPr>
  </w:style>
  <w:style w:type="paragraph" w:styleId="Stopka">
    <w:name w:val="footer"/>
    <w:basedOn w:val="Normalny"/>
    <w:link w:val="StopkaZnak"/>
    <w:uiPriority w:val="99"/>
    <w:unhideWhenUsed/>
    <w:rsid w:val="000505DF"/>
    <w:pPr>
      <w:tabs>
        <w:tab w:val="center" w:pos="4536"/>
        <w:tab w:val="right" w:pos="9072"/>
      </w:tabs>
    </w:pPr>
  </w:style>
  <w:style w:type="character" w:customStyle="1" w:styleId="StopkaZnak">
    <w:name w:val="Stopka Znak"/>
    <w:basedOn w:val="Domylnaczcionkaakapitu"/>
    <w:link w:val="Stopka"/>
    <w:uiPriority w:val="99"/>
    <w:rsid w:val="000505DF"/>
    <w:rPr>
      <w:rFonts w:ascii="Cambria" w:eastAsia="Cambria" w:hAnsi="Cambria" w:cs="Times New Roman"/>
      <w:sz w:val="24"/>
      <w:szCs w:val="24"/>
      <w:lang w:val="en-US"/>
    </w:rPr>
  </w:style>
  <w:style w:type="paragraph" w:styleId="Akapitzlist">
    <w:name w:val="List Paragraph"/>
    <w:aliases w:val="Listaszerű bekezdés1,List Paragraph à moi,Recommendation,List Paragraph11,Kolorowa lista — akcent 11,Numerowanie"/>
    <w:basedOn w:val="Normalny"/>
    <w:uiPriority w:val="34"/>
    <w:qFormat/>
    <w:rsid w:val="009F7344"/>
    <w:pPr>
      <w:ind w:left="720"/>
    </w:pPr>
    <w:rPr>
      <w:rFonts w:ascii="Calibri" w:eastAsiaTheme="minorHAnsi" w:hAnsi="Calibri"/>
      <w:sz w:val="22"/>
      <w:szCs w:val="22"/>
      <w:lang w:val="pl-PL"/>
    </w:rPr>
  </w:style>
  <w:style w:type="paragraph" w:styleId="Tekstprzypisudolnego">
    <w:name w:val="footnote text"/>
    <w:basedOn w:val="Normalny"/>
    <w:link w:val="TekstprzypisudolnegoZnak"/>
    <w:uiPriority w:val="99"/>
    <w:semiHidden/>
    <w:unhideWhenUsed/>
    <w:rsid w:val="00EB0FEE"/>
    <w:rPr>
      <w:rFonts w:eastAsiaTheme="minorHAnsi"/>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EB0FEE"/>
    <w:rPr>
      <w:rFonts w:ascii="Cambria" w:hAnsi="Cambria" w:cs="Times New Roman"/>
      <w:sz w:val="20"/>
      <w:szCs w:val="20"/>
      <w:lang w:eastAsia="pl-PL"/>
    </w:rPr>
  </w:style>
  <w:style w:type="character" w:styleId="Odwoanieprzypisudolnego">
    <w:name w:val="footnote reference"/>
    <w:basedOn w:val="Domylnaczcionkaakapitu"/>
    <w:uiPriority w:val="99"/>
    <w:semiHidden/>
    <w:unhideWhenUsed/>
    <w:rsid w:val="00EB0FEE"/>
    <w:rPr>
      <w:vertAlign w:val="superscript"/>
    </w:rPr>
  </w:style>
  <w:style w:type="paragraph" w:styleId="Legenda">
    <w:name w:val="caption"/>
    <w:basedOn w:val="Normalny"/>
    <w:next w:val="Normalny"/>
    <w:uiPriority w:val="35"/>
    <w:unhideWhenUsed/>
    <w:qFormat/>
    <w:rsid w:val="00EB0FEE"/>
    <w:pPr>
      <w:spacing w:after="200"/>
    </w:pPr>
    <w:rPr>
      <w:b/>
      <w:bCs/>
      <w:color w:val="4F81BD" w:themeColor="accent1"/>
      <w:sz w:val="18"/>
      <w:szCs w:val="18"/>
    </w:rPr>
  </w:style>
  <w:style w:type="character" w:customStyle="1" w:styleId="atn">
    <w:name w:val="atn"/>
    <w:basedOn w:val="Domylnaczcionkaakapitu"/>
    <w:rsid w:val="006C3EC5"/>
  </w:style>
  <w:style w:type="character" w:customStyle="1" w:styleId="shorttext">
    <w:name w:val="short_text"/>
    <w:basedOn w:val="Domylnaczcionkaakapitu"/>
    <w:rsid w:val="00BB7037"/>
  </w:style>
  <w:style w:type="paragraph" w:styleId="Tematkomentarza">
    <w:name w:val="annotation subject"/>
    <w:basedOn w:val="Tekstkomentarza"/>
    <w:next w:val="Tekstkomentarza"/>
    <w:link w:val="TematkomentarzaZnak"/>
    <w:uiPriority w:val="99"/>
    <w:semiHidden/>
    <w:unhideWhenUsed/>
    <w:rsid w:val="00826C65"/>
    <w:rPr>
      <w:b/>
      <w:bCs/>
    </w:rPr>
  </w:style>
  <w:style w:type="character" w:customStyle="1" w:styleId="TematkomentarzaZnak">
    <w:name w:val="Temat komentarza Znak"/>
    <w:basedOn w:val="TekstkomentarzaZnak"/>
    <w:link w:val="Tematkomentarza"/>
    <w:uiPriority w:val="99"/>
    <w:semiHidden/>
    <w:rsid w:val="00826C65"/>
    <w:rPr>
      <w:rFonts w:ascii="Cambria" w:eastAsia="Cambria" w:hAnsi="Cambria" w:cs="Times New Roman"/>
      <w:b/>
      <w:bCs/>
      <w:sz w:val="20"/>
      <w:szCs w:val="20"/>
      <w:lang w:val="en-US"/>
    </w:rPr>
  </w:style>
  <w:style w:type="paragraph" w:styleId="Poprawka">
    <w:name w:val="Revision"/>
    <w:hidden/>
    <w:uiPriority w:val="99"/>
    <w:semiHidden/>
    <w:rsid w:val="00850FF3"/>
    <w:pPr>
      <w:spacing w:after="0" w:line="240" w:lineRule="auto"/>
    </w:pPr>
    <w:rPr>
      <w:rFonts w:ascii="Cambria" w:eastAsia="Cambria" w:hAnsi="Cambria" w:cs="Times New Roman"/>
      <w:sz w:val="24"/>
      <w:szCs w:val="24"/>
      <w:lang w:val="en-US"/>
    </w:rPr>
  </w:style>
  <w:style w:type="paragraph" w:styleId="Tekstprzypisukocowego">
    <w:name w:val="endnote text"/>
    <w:basedOn w:val="Normalny"/>
    <w:link w:val="TekstprzypisukocowegoZnak"/>
    <w:uiPriority w:val="99"/>
    <w:semiHidden/>
    <w:unhideWhenUsed/>
    <w:rsid w:val="00EF1BA5"/>
    <w:rPr>
      <w:sz w:val="20"/>
      <w:szCs w:val="20"/>
    </w:rPr>
  </w:style>
  <w:style w:type="character" w:customStyle="1" w:styleId="TekstprzypisukocowegoZnak">
    <w:name w:val="Tekst przypisu końcowego Znak"/>
    <w:basedOn w:val="Domylnaczcionkaakapitu"/>
    <w:link w:val="Tekstprzypisukocowego"/>
    <w:uiPriority w:val="99"/>
    <w:semiHidden/>
    <w:rsid w:val="00EF1BA5"/>
    <w:rPr>
      <w:rFonts w:ascii="Cambria" w:eastAsia="Cambria" w:hAnsi="Cambria" w:cs="Times New Roman"/>
      <w:sz w:val="20"/>
      <w:szCs w:val="20"/>
      <w:lang w:val="en-US"/>
    </w:rPr>
  </w:style>
  <w:style w:type="character" w:styleId="Odwoanieprzypisukocowego">
    <w:name w:val="endnote reference"/>
    <w:basedOn w:val="Domylnaczcionkaakapitu"/>
    <w:uiPriority w:val="99"/>
    <w:semiHidden/>
    <w:unhideWhenUsed/>
    <w:rsid w:val="00EF1BA5"/>
    <w:rPr>
      <w:vertAlign w:val="superscript"/>
    </w:rPr>
  </w:style>
  <w:style w:type="character" w:customStyle="1" w:styleId="highlight">
    <w:name w:val="highlight"/>
    <w:basedOn w:val="Domylnaczcionkaakapitu"/>
    <w:rsid w:val="00F11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7485">
      <w:bodyDiv w:val="1"/>
      <w:marLeft w:val="0"/>
      <w:marRight w:val="0"/>
      <w:marTop w:val="0"/>
      <w:marBottom w:val="0"/>
      <w:divBdr>
        <w:top w:val="none" w:sz="0" w:space="0" w:color="auto"/>
        <w:left w:val="none" w:sz="0" w:space="0" w:color="auto"/>
        <w:bottom w:val="none" w:sz="0" w:space="0" w:color="auto"/>
        <w:right w:val="none" w:sz="0" w:space="0" w:color="auto"/>
      </w:divBdr>
    </w:div>
    <w:div w:id="69885518">
      <w:bodyDiv w:val="1"/>
      <w:marLeft w:val="0"/>
      <w:marRight w:val="0"/>
      <w:marTop w:val="0"/>
      <w:marBottom w:val="0"/>
      <w:divBdr>
        <w:top w:val="none" w:sz="0" w:space="0" w:color="auto"/>
        <w:left w:val="none" w:sz="0" w:space="0" w:color="auto"/>
        <w:bottom w:val="none" w:sz="0" w:space="0" w:color="auto"/>
        <w:right w:val="none" w:sz="0" w:space="0" w:color="auto"/>
      </w:divBdr>
    </w:div>
    <w:div w:id="91095174">
      <w:bodyDiv w:val="1"/>
      <w:marLeft w:val="0"/>
      <w:marRight w:val="0"/>
      <w:marTop w:val="0"/>
      <w:marBottom w:val="0"/>
      <w:divBdr>
        <w:top w:val="none" w:sz="0" w:space="0" w:color="auto"/>
        <w:left w:val="none" w:sz="0" w:space="0" w:color="auto"/>
        <w:bottom w:val="none" w:sz="0" w:space="0" w:color="auto"/>
        <w:right w:val="none" w:sz="0" w:space="0" w:color="auto"/>
      </w:divBdr>
    </w:div>
    <w:div w:id="257833173">
      <w:bodyDiv w:val="1"/>
      <w:marLeft w:val="0"/>
      <w:marRight w:val="0"/>
      <w:marTop w:val="0"/>
      <w:marBottom w:val="0"/>
      <w:divBdr>
        <w:top w:val="none" w:sz="0" w:space="0" w:color="auto"/>
        <w:left w:val="none" w:sz="0" w:space="0" w:color="auto"/>
        <w:bottom w:val="none" w:sz="0" w:space="0" w:color="auto"/>
        <w:right w:val="none" w:sz="0" w:space="0" w:color="auto"/>
      </w:divBdr>
      <w:divsChild>
        <w:div w:id="1756970336">
          <w:marLeft w:val="0"/>
          <w:marRight w:val="0"/>
          <w:marTop w:val="0"/>
          <w:marBottom w:val="0"/>
          <w:divBdr>
            <w:top w:val="none" w:sz="0" w:space="0" w:color="auto"/>
            <w:left w:val="none" w:sz="0" w:space="0" w:color="auto"/>
            <w:bottom w:val="none" w:sz="0" w:space="0" w:color="auto"/>
            <w:right w:val="none" w:sz="0" w:space="0" w:color="auto"/>
          </w:divBdr>
        </w:div>
        <w:div w:id="841745742">
          <w:marLeft w:val="0"/>
          <w:marRight w:val="0"/>
          <w:marTop w:val="0"/>
          <w:marBottom w:val="0"/>
          <w:divBdr>
            <w:top w:val="none" w:sz="0" w:space="0" w:color="auto"/>
            <w:left w:val="none" w:sz="0" w:space="0" w:color="auto"/>
            <w:bottom w:val="none" w:sz="0" w:space="0" w:color="auto"/>
            <w:right w:val="none" w:sz="0" w:space="0" w:color="auto"/>
          </w:divBdr>
        </w:div>
      </w:divsChild>
    </w:div>
    <w:div w:id="273832953">
      <w:bodyDiv w:val="1"/>
      <w:marLeft w:val="0"/>
      <w:marRight w:val="0"/>
      <w:marTop w:val="0"/>
      <w:marBottom w:val="0"/>
      <w:divBdr>
        <w:top w:val="none" w:sz="0" w:space="0" w:color="auto"/>
        <w:left w:val="none" w:sz="0" w:space="0" w:color="auto"/>
        <w:bottom w:val="none" w:sz="0" w:space="0" w:color="auto"/>
        <w:right w:val="none" w:sz="0" w:space="0" w:color="auto"/>
      </w:divBdr>
    </w:div>
    <w:div w:id="311063368">
      <w:bodyDiv w:val="1"/>
      <w:marLeft w:val="0"/>
      <w:marRight w:val="0"/>
      <w:marTop w:val="0"/>
      <w:marBottom w:val="0"/>
      <w:divBdr>
        <w:top w:val="none" w:sz="0" w:space="0" w:color="auto"/>
        <w:left w:val="none" w:sz="0" w:space="0" w:color="auto"/>
        <w:bottom w:val="none" w:sz="0" w:space="0" w:color="auto"/>
        <w:right w:val="none" w:sz="0" w:space="0" w:color="auto"/>
      </w:divBdr>
    </w:div>
    <w:div w:id="451050908">
      <w:bodyDiv w:val="1"/>
      <w:marLeft w:val="0"/>
      <w:marRight w:val="0"/>
      <w:marTop w:val="0"/>
      <w:marBottom w:val="0"/>
      <w:divBdr>
        <w:top w:val="none" w:sz="0" w:space="0" w:color="auto"/>
        <w:left w:val="none" w:sz="0" w:space="0" w:color="auto"/>
        <w:bottom w:val="none" w:sz="0" w:space="0" w:color="auto"/>
        <w:right w:val="none" w:sz="0" w:space="0" w:color="auto"/>
      </w:divBdr>
    </w:div>
    <w:div w:id="666907611">
      <w:bodyDiv w:val="1"/>
      <w:marLeft w:val="0"/>
      <w:marRight w:val="0"/>
      <w:marTop w:val="0"/>
      <w:marBottom w:val="0"/>
      <w:divBdr>
        <w:top w:val="none" w:sz="0" w:space="0" w:color="auto"/>
        <w:left w:val="none" w:sz="0" w:space="0" w:color="auto"/>
        <w:bottom w:val="none" w:sz="0" w:space="0" w:color="auto"/>
        <w:right w:val="none" w:sz="0" w:space="0" w:color="auto"/>
      </w:divBdr>
    </w:div>
    <w:div w:id="873466089">
      <w:bodyDiv w:val="1"/>
      <w:marLeft w:val="0"/>
      <w:marRight w:val="0"/>
      <w:marTop w:val="0"/>
      <w:marBottom w:val="0"/>
      <w:divBdr>
        <w:top w:val="none" w:sz="0" w:space="0" w:color="auto"/>
        <w:left w:val="none" w:sz="0" w:space="0" w:color="auto"/>
        <w:bottom w:val="none" w:sz="0" w:space="0" w:color="auto"/>
        <w:right w:val="none" w:sz="0" w:space="0" w:color="auto"/>
      </w:divBdr>
    </w:div>
    <w:div w:id="1616450099">
      <w:bodyDiv w:val="1"/>
      <w:marLeft w:val="0"/>
      <w:marRight w:val="0"/>
      <w:marTop w:val="0"/>
      <w:marBottom w:val="0"/>
      <w:divBdr>
        <w:top w:val="none" w:sz="0" w:space="0" w:color="auto"/>
        <w:left w:val="none" w:sz="0" w:space="0" w:color="auto"/>
        <w:bottom w:val="none" w:sz="0" w:space="0" w:color="auto"/>
        <w:right w:val="none" w:sz="0" w:space="0" w:color="auto"/>
      </w:divBdr>
    </w:div>
    <w:div w:id="1678075932">
      <w:bodyDiv w:val="1"/>
      <w:marLeft w:val="0"/>
      <w:marRight w:val="0"/>
      <w:marTop w:val="0"/>
      <w:marBottom w:val="0"/>
      <w:divBdr>
        <w:top w:val="none" w:sz="0" w:space="0" w:color="auto"/>
        <w:left w:val="none" w:sz="0" w:space="0" w:color="auto"/>
        <w:bottom w:val="none" w:sz="0" w:space="0" w:color="auto"/>
        <w:right w:val="none" w:sz="0" w:space="0" w:color="auto"/>
      </w:divBdr>
    </w:div>
    <w:div w:id="1845780595">
      <w:bodyDiv w:val="1"/>
      <w:marLeft w:val="0"/>
      <w:marRight w:val="0"/>
      <w:marTop w:val="0"/>
      <w:marBottom w:val="0"/>
      <w:divBdr>
        <w:top w:val="none" w:sz="0" w:space="0" w:color="auto"/>
        <w:left w:val="none" w:sz="0" w:space="0" w:color="auto"/>
        <w:bottom w:val="none" w:sz="0" w:space="0" w:color="auto"/>
        <w:right w:val="none" w:sz="0" w:space="0" w:color="auto"/>
      </w:divBdr>
    </w:div>
    <w:div w:id="2048680752">
      <w:bodyDiv w:val="1"/>
      <w:marLeft w:val="0"/>
      <w:marRight w:val="0"/>
      <w:marTop w:val="0"/>
      <w:marBottom w:val="0"/>
      <w:divBdr>
        <w:top w:val="none" w:sz="0" w:space="0" w:color="auto"/>
        <w:left w:val="none" w:sz="0" w:space="0" w:color="auto"/>
        <w:bottom w:val="none" w:sz="0" w:space="0" w:color="auto"/>
        <w:right w:val="none" w:sz="0" w:space="0" w:color="auto"/>
      </w:divBdr>
    </w:div>
    <w:div w:id="2074504949">
      <w:bodyDiv w:val="1"/>
      <w:marLeft w:val="0"/>
      <w:marRight w:val="0"/>
      <w:marTop w:val="0"/>
      <w:marBottom w:val="0"/>
      <w:divBdr>
        <w:top w:val="none" w:sz="0" w:space="0" w:color="auto"/>
        <w:left w:val="none" w:sz="0" w:space="0" w:color="auto"/>
        <w:bottom w:val="none" w:sz="0" w:space="0" w:color="auto"/>
        <w:right w:val="none" w:sz="0" w:space="0" w:color="auto"/>
      </w:divBdr>
    </w:div>
    <w:div w:id="208498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BA63E-D7DB-4534-A895-11E07669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2331</Words>
  <Characters>13987</Characters>
  <Application>Microsoft Office Word</Application>
  <DocSecurity>0</DocSecurity>
  <Lines>116</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Ministerstwo Finansów</Company>
  <LinksUpToDate>false</LinksUpToDate>
  <CharactersWithSpaces>16286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Dopierała-Konkołowicz</dc:creator>
  <cp:lastModifiedBy>Patryk Łoszewski </cp:lastModifiedBy>
  <cp:revision>2</cp:revision>
  <dcterms:created xsi:type="dcterms:W3CDTF">2014-11-20T16:38:00Z</dcterms:created>
  <dcterms:modified xsi:type="dcterms:W3CDTF">2014-11-20T16:38:00Z</dcterms:modified>
</cp:coreProperties>
</file>